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32769" w14:textId="77777777" w:rsidR="0002516B" w:rsidRDefault="00000000">
      <w:pPr>
        <w:spacing w:line="1" w:lineRule="exact"/>
      </w:pPr>
      <w:r>
        <w:rPr>
          <w:noProof/>
        </w:rPr>
        <mc:AlternateContent>
          <mc:Choice Requires="wps">
            <w:drawing>
              <wp:anchor distT="0" distB="1803400" distL="114300" distR="114300" simplePos="0" relativeHeight="125829378" behindDoc="0" locked="0" layoutInCell="1" allowOverlap="1" wp14:anchorId="423C6D6D" wp14:editId="0D42C2D1">
                <wp:simplePos x="0" y="0"/>
                <wp:positionH relativeFrom="page">
                  <wp:posOffset>4366260</wp:posOffset>
                </wp:positionH>
                <wp:positionV relativeFrom="paragraph">
                  <wp:posOffset>874395</wp:posOffset>
                </wp:positionV>
                <wp:extent cx="2386330" cy="128778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2386330" cy="1287780"/>
                        </a:xfrm>
                        <a:prstGeom prst="rect">
                          <a:avLst/>
                        </a:prstGeom>
                        <a:noFill/>
                      </wps:spPr>
                      <wps:txbx>
                        <w:txbxContent>
                          <w:p w14:paraId="0DC28222" w14:textId="5DF266FE" w:rsidR="00826EDF" w:rsidRPr="00907ADE" w:rsidRDefault="00000000">
                            <w:pPr>
                              <w:pStyle w:val="Pagrindinistekstas"/>
                              <w:spacing w:after="100"/>
                              <w:rPr>
                                <w:b/>
                              </w:rPr>
                            </w:pPr>
                            <w:r>
                              <w:rPr>
                                <w:b/>
                              </w:rPr>
                              <w:t>I APPROVE:</w:t>
                            </w:r>
                          </w:p>
                          <w:p w14:paraId="391A6A5E" w14:textId="77777777" w:rsidR="0002516B" w:rsidRDefault="00000000" w:rsidP="00907ADE">
                            <w:pPr>
                              <w:pStyle w:val="Pagrindinistekstas"/>
                              <w:spacing w:after="0"/>
                            </w:pPr>
                            <w:r>
                              <w:t>Director of the Strategy Department</w:t>
                            </w:r>
                          </w:p>
                          <w:p w14:paraId="0CDE5FEB" w14:textId="77777777" w:rsidR="00907ADE" w:rsidRDefault="00907ADE" w:rsidP="00907ADE">
                            <w:pPr>
                              <w:pStyle w:val="Pagrindinistekstas"/>
                              <w:pBdr>
                                <w:bottom w:val="single" w:sz="4" w:space="1" w:color="auto"/>
                              </w:pBdr>
                              <w:spacing w:after="0"/>
                            </w:pPr>
                          </w:p>
                          <w:p w14:paraId="456F6314" w14:textId="77777777" w:rsidR="0002516B" w:rsidRDefault="00000000" w:rsidP="00907ADE">
                            <w:pPr>
                              <w:pStyle w:val="Pagrindinistekstas"/>
                              <w:spacing w:after="0"/>
                              <w:rPr>
                                <w:b/>
                              </w:rPr>
                            </w:pPr>
                            <w:r>
                              <w:rPr>
                                <w:b/>
                              </w:rPr>
                              <w:t>2022</w:t>
                            </w:r>
                          </w:p>
                          <w:p w14:paraId="063576D3" w14:textId="77777777" w:rsidR="00907ADE" w:rsidRDefault="00907ADE" w:rsidP="00907ADE">
                            <w:pPr>
                              <w:pStyle w:val="Pagrindinistekstas"/>
                              <w:pBdr>
                                <w:bottom w:val="single" w:sz="4" w:space="1" w:color="auto"/>
                              </w:pBdr>
                              <w:spacing w:after="0"/>
                              <w:rPr>
                                <w:b/>
                              </w:rPr>
                            </w:pPr>
                          </w:p>
                          <w:p w14:paraId="1F458104" w14:textId="77777777" w:rsidR="00907ADE" w:rsidRDefault="00907ADE">
                            <w:pPr>
                              <w:pStyle w:val="Pagrindinistekstas"/>
                              <w:spacing w:after="360"/>
                              <w:rPr>
                                <w:b/>
                              </w:rPr>
                            </w:pPr>
                          </w:p>
                          <w:p w14:paraId="3655E796" w14:textId="77777777" w:rsidR="00907ADE" w:rsidRDefault="00907ADE">
                            <w:pPr>
                              <w:pStyle w:val="Pagrindinistekstas"/>
                              <w:spacing w:after="360"/>
                              <w:rPr>
                                <w:b/>
                              </w:rPr>
                            </w:pPr>
                          </w:p>
                          <w:p w14:paraId="5ACE821B" w14:textId="77777777" w:rsidR="00907ADE" w:rsidRDefault="00907ADE">
                            <w:pPr>
                              <w:pStyle w:val="Pagrindinistekstas"/>
                              <w:spacing w:after="360"/>
                            </w:pPr>
                          </w:p>
                        </w:txbxContent>
                      </wps:txbx>
                      <wps:bodyPr lIns="0" tIns="0" rIns="0" bIns="0">
                        <a:noAutofit/>
                      </wps:bodyPr>
                    </wps:wsp>
                  </a:graphicData>
                </a:graphic>
                <wp14:sizeRelV relativeFrom="margin">
                  <wp14:pctHeight>0</wp14:pctHeight>
                </wp14:sizeRelV>
              </wp:anchor>
            </w:drawing>
          </mc:Choice>
          <mc:Fallback>
            <w:pict>
              <v:shapetype w14:anchorId="423C6D6D" id="_x0000_t202" coordsize="21600,21600" o:spt="202" path="m,l,21600r21600,l21600,xe">
                <v:stroke joinstyle="miter"/>
                <v:path gradientshapeok="t" o:connecttype="rect"/>
              </v:shapetype>
              <v:shape id="Shape 1" o:spid="_x0000_s1026" type="#_x0000_t202" style="position:absolute;margin-left:343.8pt;margin-top:68.85pt;width:187.9pt;height:101.4pt;z-index:125829378;visibility:visible;mso-wrap-style:square;mso-height-percent:0;mso-wrap-distance-left:9pt;mso-wrap-distance-top:0;mso-wrap-distance-right:9pt;mso-wrap-distance-bottom:142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" filled="f" stroked="f">
                <v:textbox inset="0,0,0,0">
                  <w:txbxContent>
                    <w:p w14:paraId="0DC28222" w14:textId="5DF266FE" w:rsidR="00826EDF" w:rsidRPr="00907ADE" w:rsidRDefault="00000000">
                      <w:pPr>
                        <w:pStyle w:val="Pagrindinistekstas"/>
                        <w:spacing w:after="100"/>
                        <w:rPr>
                          <w:b/>
                        </w:rPr>
                      </w:pPr>
                      <w:r>
                        <w:rPr>
                          <w:b/>
                        </w:rPr>
                        <w:t>I APPROVE:</w:t>
                      </w:r>
                    </w:p>
                    <w:p w14:paraId="391A6A5E" w14:textId="77777777" w:rsidR="0002516B" w:rsidRDefault="00000000" w:rsidP="00907ADE">
                      <w:pPr>
                        <w:pStyle w:val="Pagrindinistekstas"/>
                        <w:spacing w:after="0"/>
                      </w:pPr>
                      <w:r>
                        <w:t>Director of the Strategy Department</w:t>
                      </w:r>
                    </w:p>
                    <w:p w14:paraId="0CDE5FEB" w14:textId="77777777" w:rsidR="00907ADE" w:rsidRDefault="00907ADE" w:rsidP="00907ADE">
                      <w:pPr>
                        <w:pStyle w:val="Pagrindinistekstas"/>
                        <w:pBdr>
                          <w:bottom w:val="single" w:sz="4" w:space="1" w:color="auto"/>
                        </w:pBdr>
                        <w:spacing w:after="0"/>
                      </w:pPr>
                    </w:p>
                    <w:p w14:paraId="456F6314" w14:textId="77777777" w:rsidR="0002516B" w:rsidRDefault="00000000" w:rsidP="00907ADE">
                      <w:pPr>
                        <w:pStyle w:val="Pagrindinistekstas"/>
                        <w:spacing w:after="0"/>
                        <w:rPr>
                          <w:b/>
                        </w:rPr>
                      </w:pPr>
                      <w:r>
                        <w:rPr>
                          <w:b/>
                        </w:rPr>
                        <w:t>2022</w:t>
                      </w:r>
                    </w:p>
                    <w:p w14:paraId="063576D3" w14:textId="77777777" w:rsidR="00907ADE" w:rsidRDefault="00907ADE" w:rsidP="00907ADE">
                      <w:pPr>
                        <w:pStyle w:val="Pagrindinistekstas"/>
                        <w:pBdr>
                          <w:bottom w:val="single" w:sz="4" w:space="1" w:color="auto"/>
                        </w:pBdr>
                        <w:spacing w:after="0"/>
                        <w:rPr>
                          <w:b/>
                        </w:rPr>
                      </w:pPr>
                    </w:p>
                    <w:p w14:paraId="1F458104" w14:textId="77777777" w:rsidR="00907ADE" w:rsidRDefault="00907ADE">
                      <w:pPr>
                        <w:pStyle w:val="Pagrindinistekstas"/>
                        <w:spacing w:after="360"/>
                        <w:rPr>
                          <w:b/>
                        </w:rPr>
                      </w:pPr>
                    </w:p>
                    <w:p w14:paraId="3655E796" w14:textId="77777777" w:rsidR="00907ADE" w:rsidRDefault="00907ADE">
                      <w:pPr>
                        <w:pStyle w:val="Pagrindinistekstas"/>
                        <w:spacing w:after="360"/>
                        <w:rPr>
                          <w:b/>
                        </w:rPr>
                      </w:pPr>
                    </w:p>
                    <w:p w14:paraId="5ACE821B" w14:textId="77777777" w:rsidR="00907ADE" w:rsidRDefault="00907ADE">
                      <w:pPr>
                        <w:pStyle w:val="Pagrindinistekstas"/>
                        <w:spacing w:after="360"/>
                      </w:pPr>
                    </w:p>
                  </w:txbxContent>
                </v:textbox>
                <w10:wrap type="topAndBottom" anchorx="page"/>
              </v:shape>
            </w:pict>
          </mc:Fallback>
        </mc:AlternateContent>
      </w:r>
      <w:r>
        <w:rPr>
          <w:noProof/>
        </w:rPr>
        <w:drawing>
          <wp:anchor distT="0" distB="0" distL="114300" distR="114300" simplePos="0" relativeHeight="125829380" behindDoc="0" locked="0" layoutInCell="1" allowOverlap="1" wp14:anchorId="38717B52" wp14:editId="7494C7E9">
            <wp:simplePos x="0" y="0"/>
            <wp:positionH relativeFrom="page">
              <wp:posOffset>3513455</wp:posOffset>
            </wp:positionH>
            <wp:positionV relativeFrom="paragraph">
              <wp:posOffset>12700</wp:posOffset>
            </wp:positionV>
            <wp:extent cx="762000" cy="963295"/>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762000" cy="963295"/>
                    </a:xfrm>
                    <a:prstGeom prst="rect">
                      <a:avLst/>
                    </a:prstGeom>
                  </pic:spPr>
                </pic:pic>
              </a:graphicData>
            </a:graphic>
          </wp:anchor>
        </w:drawing>
      </w:r>
    </w:p>
    <w:p w14:paraId="52AC8AAD" w14:textId="77777777" w:rsidR="008E56BE" w:rsidRDefault="00000000" w:rsidP="001C49DC">
      <w:pPr>
        <w:pStyle w:val="Heading10"/>
        <w:keepNext/>
        <w:keepLines/>
        <w:spacing w:after="420"/>
        <w:ind w:left="-142"/>
      </w:pPr>
      <w:bookmarkStart w:id="0" w:name="bookmark0"/>
      <w:bookmarkStart w:id="1" w:name="bookmark1"/>
      <w:bookmarkStart w:id="2" w:name="bookmark2"/>
      <w:r>
        <w:t xml:space="preserve">Amendment No.1 of the </w:t>
      </w:r>
    </w:p>
    <w:p w14:paraId="466BA436" w14:textId="63C333F1" w:rsidR="0002516B" w:rsidRDefault="00000000" w:rsidP="001C49DC">
      <w:pPr>
        <w:pStyle w:val="Heading10"/>
        <w:keepNext/>
        <w:keepLines/>
        <w:spacing w:after="420"/>
        <w:ind w:left="-284"/>
      </w:pPr>
      <w:r>
        <w:t>DESIGN TASK</w:t>
      </w:r>
      <w:bookmarkEnd w:id="0"/>
      <w:bookmarkEnd w:id="1"/>
      <w:bookmarkEnd w:id="2"/>
    </w:p>
    <w:p w14:paraId="2A8786E2" w14:textId="77777777" w:rsidR="0002516B" w:rsidRDefault="00000000" w:rsidP="001C49DC">
      <w:pPr>
        <w:pStyle w:val="Heading10"/>
        <w:keepNext/>
        <w:keepLines/>
        <w:spacing w:after="220"/>
        <w:ind w:left="-426"/>
      </w:pPr>
      <w:bookmarkStart w:id="3" w:name="bookmark3"/>
      <w:bookmarkStart w:id="4" w:name="bookmark4"/>
      <w:bookmarkStart w:id="5" w:name="bookmark5"/>
      <w:r>
        <w:t xml:space="preserve">“Construction of a new 330 kV Vilnius-Neris ETL“ </w:t>
      </w:r>
      <w:r>
        <w:br/>
      </w:r>
      <w:bookmarkEnd w:id="3"/>
      <w:bookmarkEnd w:id="4"/>
      <w:bookmarkEnd w:id="5"/>
    </w:p>
    <w:p w14:paraId="2C4E48B8" w14:textId="77777777" w:rsidR="0002516B" w:rsidRDefault="00000000" w:rsidP="00A9464D">
      <w:pPr>
        <w:pStyle w:val="Pagrindinistekstas"/>
        <w:spacing w:after="320"/>
        <w:ind w:left="-284"/>
        <w:jc w:val="center"/>
        <w:sectPr w:rsidR="0002516B" w:rsidSect="00AB34E5">
          <w:pgSz w:w="11900" w:h="16840"/>
          <w:pgMar w:top="63" w:right="1552" w:bottom="63" w:left="3023" w:header="0" w:footer="3" w:gutter="0"/>
          <w:pgNumType w:start="1"/>
          <w:cols w:space="720"/>
          <w:noEndnote/>
          <w:docGrid w:linePitch="360"/>
        </w:sectPr>
      </w:pPr>
      <w:r>
        <w:rPr>
          <w:b/>
        </w:rPr>
        <w:t>INVESTMENT PROJECT No. PLSV18094</w:t>
      </w:r>
    </w:p>
    <w:p w14:paraId="524892A9" w14:textId="77777777" w:rsidR="0002516B" w:rsidRPr="00826EDF" w:rsidRDefault="00000000">
      <w:pPr>
        <w:pStyle w:val="Bodytext30"/>
        <w:spacing w:after="0"/>
        <w:ind w:firstLine="0"/>
        <w:rPr>
          <w:rFonts w:ascii="Trebuchet MS" w:hAnsi="Trebuchet MS"/>
          <w:bCs w:val="0"/>
        </w:rPr>
        <w:sectPr w:rsidR="0002516B" w:rsidRPr="00826EDF" w:rsidSect="00AB34E5">
          <w:headerReference w:type="default" r:id="rId8"/>
          <w:footerReference w:type="default" r:id="rId9"/>
          <w:pgSz w:w="11900" w:h="16840"/>
          <w:pgMar w:top="2410" w:right="525" w:bottom="2574" w:left="1098" w:header="0" w:footer="3" w:gutter="0"/>
          <w:cols w:space="720"/>
          <w:noEndnote/>
          <w:docGrid w:linePitch="360"/>
        </w:sectPr>
      </w:pPr>
      <w:r w:rsidRPr="00826EDF">
        <w:rPr>
          <w:rFonts w:ascii="Trebuchet MS" w:hAnsi="Trebuchet MS"/>
          <w:bCs w:val="0"/>
          <w:szCs w:val="24"/>
        </w:rPr>
        <w:lastRenderedPageBreak/>
        <w:t xml:space="preserve">List of alignments (list of alignments from </w:t>
      </w:r>
      <w:proofErr w:type="spellStart"/>
      <w:r w:rsidRPr="00826EDF">
        <w:rPr>
          <w:rFonts w:ascii="Trebuchet MS" w:hAnsi="Trebuchet MS"/>
          <w:bCs w:val="0"/>
          <w:szCs w:val="24"/>
        </w:rPr>
        <w:t>Doclogix</w:t>
      </w:r>
      <w:proofErr w:type="spellEnd"/>
      <w:r w:rsidRPr="00826EDF">
        <w:rPr>
          <w:rFonts w:ascii="Trebuchet MS" w:hAnsi="Trebuchet MS"/>
          <w:bCs w:val="0"/>
          <w:szCs w:val="24"/>
        </w:rPr>
        <w:t xml:space="preserve"> attached)</w:t>
      </w:r>
    </w:p>
    <w:p w14:paraId="452F32BD" w14:textId="77777777" w:rsidR="0002516B" w:rsidRDefault="00000000" w:rsidP="008E56BE">
      <w:pPr>
        <w:pStyle w:val="Pagrindinistekstas"/>
        <w:spacing w:after="0"/>
        <w:ind w:left="851" w:firstLine="9"/>
        <w:jc w:val="both"/>
      </w:pPr>
      <w:r>
        <w:rPr>
          <w:b/>
        </w:rPr>
        <w:lastRenderedPageBreak/>
        <w:t>Design task No. 21PRU-10 of 02/04/2021 “Construction of a new 330 kV Vilnius-Neris overhead line” (hereinafter - DT):</w:t>
      </w:r>
    </w:p>
    <w:p w14:paraId="3EBA523B" w14:textId="77777777" w:rsidR="0002516B" w:rsidRDefault="00000000" w:rsidP="008E56BE">
      <w:pPr>
        <w:pStyle w:val="Pagrindinistekstas"/>
        <w:numPr>
          <w:ilvl w:val="0"/>
          <w:numId w:val="1"/>
        </w:numPr>
        <w:tabs>
          <w:tab w:val="left" w:pos="1175"/>
        </w:tabs>
        <w:ind w:left="1134" w:hanging="274"/>
        <w:jc w:val="both"/>
      </w:pPr>
      <w:bookmarkStart w:id="6" w:name="bookmark6"/>
      <w:bookmarkEnd w:id="6"/>
      <w:r>
        <w:rPr>
          <w:b/>
        </w:rPr>
        <w:t>Sub-clause 18.9 and clauses 8, 46, 47, 48, 50, 51, 53, 54, 55, 59, 179 are amended and read as follows:</w:t>
      </w:r>
    </w:p>
    <w:p w14:paraId="0CF1658C" w14:textId="77777777" w:rsidR="0002516B" w:rsidRDefault="00000000">
      <w:pPr>
        <w:pStyle w:val="Pagrindinistekstas"/>
        <w:numPr>
          <w:ilvl w:val="0"/>
          <w:numId w:val="2"/>
        </w:numPr>
        <w:tabs>
          <w:tab w:val="left" w:pos="1175"/>
        </w:tabs>
        <w:ind w:left="1120" w:hanging="260"/>
        <w:jc w:val="both"/>
      </w:pPr>
      <w:bookmarkStart w:id="7" w:name="bookmark7"/>
      <w:bookmarkEnd w:id="7"/>
      <w:r>
        <w:t>„8. The scope of the submission of the technical documentation of the Main equipment for coordination and the compilation and structure of the tables of the technical specifications of the technical design shall be in accordance with the requirements of the TSO procedure for justification of the compliance of the Main equipment with the Customer's requirements and the requirements for the compilation of the technical specifications of the technical design (Annex No. 4). Technical design explanatory notes shall stipulate that the Contractor shall provide the completed technical design specifications with documentation supporting the compliance requirements prior to the commencement of the detailed design of the works and the ordering of the Main equipment. Prior to ordering the Main equipment, the TSO shall assess the conformity of the equipment supplied by the Contractor with the design task and the design solutions in accordance with the standard technical requirements for the equipment. The equipment shall be ordered subject to the approval of the TSO. All equipment supplied must comply with national security interests (see Annex No. 61).</w:t>
      </w:r>
    </w:p>
    <w:p w14:paraId="23D1639C" w14:textId="77777777" w:rsidR="0002516B" w:rsidRDefault="00000000" w:rsidP="008E56BE">
      <w:pPr>
        <w:pStyle w:val="Pagrindinistekstas"/>
        <w:tabs>
          <w:tab w:val="left" w:pos="1175"/>
        </w:tabs>
        <w:spacing w:after="0"/>
        <w:ind w:left="1134" w:hanging="414"/>
        <w:jc w:val="both"/>
      </w:pPr>
      <w:r>
        <w:t>•</w:t>
      </w:r>
      <w:r>
        <w:tab/>
        <w:t>“18.9 Design the works in such a way that during the construction of the new 330 kV OL Vilnius-Neris (LN 519/520), the existing 330 kV OL Vilnius-</w:t>
      </w:r>
      <w:proofErr w:type="spellStart"/>
      <w:r>
        <w:t>Molodečno</w:t>
      </w:r>
      <w:proofErr w:type="spellEnd"/>
      <w:r>
        <w:t xml:space="preserve"> is in operation.</w:t>
      </w:r>
    </w:p>
    <w:p w14:paraId="32E7108B" w14:textId="2EC2F4BA" w:rsidR="0002516B" w:rsidRDefault="00000000">
      <w:pPr>
        <w:pStyle w:val="Pagrindinistekstas"/>
        <w:ind w:left="1120" w:firstLine="20"/>
        <w:jc w:val="both"/>
      </w:pPr>
      <w:r>
        <w:t>The reconstruction of the existing 330 kV Vilnius-</w:t>
      </w:r>
      <w:proofErr w:type="spellStart"/>
      <w:r>
        <w:t>Molodečno</w:t>
      </w:r>
      <w:proofErr w:type="spellEnd"/>
      <w:r>
        <w:t xml:space="preserve"> OL is only possible for its reconstruction from the 330 kV Vilnius TS to the 330 kV Vilnius-</w:t>
      </w:r>
      <w:proofErr w:type="spellStart"/>
      <w:r>
        <w:t>Molodečno</w:t>
      </w:r>
      <w:proofErr w:type="spellEnd"/>
      <w:r>
        <w:t xml:space="preserve"> OL (LN 333) pylon No. 59 and after coordination of the protective barriers between the 330 kV Vilnius and the 330 kV Neris TS.  Parallel works (new part of 330kV OL Vilnius-Neris (LN519/520), reconstruction of 330kV OL Vilnius-</w:t>
      </w:r>
      <w:proofErr w:type="spellStart"/>
      <w:r>
        <w:t>Molodečnas</w:t>
      </w:r>
      <w:proofErr w:type="spellEnd"/>
      <w:r>
        <w:t xml:space="preserve"> section from Vilniaus TS to pylon No. 59, modifications of the RPA protections on the Neris and Vilnius TS) are also possible, however, the starting date of the disconnection of 330kV OL Vilnius-</w:t>
      </w:r>
      <w:proofErr w:type="spellStart"/>
      <w:r>
        <w:t>Molodečnas</w:t>
      </w:r>
      <w:proofErr w:type="spellEnd"/>
      <w:r>
        <w:t xml:space="preserve"> has to be chosen in such a way so as to ensure that the completion of the works will be in the same period of time with the completion of the works of the 330kV OL Vilnius-Neris (LN519/520)”. </w:t>
      </w:r>
    </w:p>
    <w:p w14:paraId="6572792A" w14:textId="77777777" w:rsidR="0002516B" w:rsidRDefault="00000000">
      <w:pPr>
        <w:pStyle w:val="Pagrindinistekstas"/>
        <w:numPr>
          <w:ilvl w:val="0"/>
          <w:numId w:val="2"/>
        </w:numPr>
        <w:tabs>
          <w:tab w:val="left" w:pos="1175"/>
        </w:tabs>
        <w:ind w:left="1120" w:hanging="260"/>
        <w:jc w:val="both"/>
      </w:pPr>
      <w:bookmarkStart w:id="8" w:name="bookmark8"/>
      <w:bookmarkEnd w:id="8"/>
      <w:r>
        <w:t xml:space="preserve">„46. Provide a longitudinal profile of the OL, which shall include the deflections of the wires and lightning protection cable with fibre optic cable (LPC with FOC), the distances from the wires to the ground and to the surface of the water, the distances at the intersections with other engineering infrastructure, for the normal and the critical (ambient temperature calculated at t= +35°C, wire heating temperature calculated at t= +80°C, wind velocity calculated at v= 0,6 m/s) operating modes of the OL. The distances from the lower wires of the OL to the ground and water surfaces, to the cars, railways and waterways shall be designed at least 1.5 m greater than the distances specified in the Rules for the Installation of Electrical Power Lines (hereinafter - RIEPL) for the critical (calculated ambient temperature t= +35°C, cable heating temperature t= +80°C, wind speed v= 0.6 m/s) mode of OL operation. The numerical value of the deflection of the lower </w:t>
      </w:r>
      <w:proofErr w:type="spellStart"/>
      <w:r>
        <w:t>air line</w:t>
      </w:r>
      <w:proofErr w:type="spellEnd"/>
      <w:r>
        <w:t xml:space="preserve"> cable shall be indicated in each span of the longitudinal profile under the following ambient conditions: (a) ambient temperature +35°C, wind speed 0,6 m/s; (b) ambient temperature -5°C, the thickness of the frost and the wind speed shall be selected in accordance with the maps of frosting and wind areas in the territory of the Republic of Lithuania; (c) ambient temperature -35°C with no frost and no wind; (d) ambient temperature +35°C, the cable's heating point +80°C, and the wind speed - 0,6 m/s). Longitudinal profiles shall be submitted in .pdf and .</w:t>
      </w:r>
      <w:proofErr w:type="spellStart"/>
      <w:r>
        <w:t>dwg</w:t>
      </w:r>
      <w:proofErr w:type="spellEnd"/>
      <w:r>
        <w:t xml:space="preserve"> formats for technical design coordination.”</w:t>
      </w:r>
    </w:p>
    <w:p w14:paraId="739F23D6" w14:textId="77777777" w:rsidR="0002516B" w:rsidRDefault="00000000">
      <w:pPr>
        <w:pStyle w:val="Pagrindinistekstas"/>
        <w:numPr>
          <w:ilvl w:val="0"/>
          <w:numId w:val="2"/>
        </w:numPr>
        <w:tabs>
          <w:tab w:val="left" w:pos="1175"/>
        </w:tabs>
        <w:ind w:left="1120" w:hanging="260"/>
        <w:jc w:val="both"/>
      </w:pPr>
      <w:bookmarkStart w:id="9" w:name="bookmark9"/>
      <w:bookmarkEnd w:id="9"/>
      <w:r>
        <w:t>„47. Provide a layout of the OL route to identify the position of the existing and planned OL edge wires in a horizontal projection. Submit the route plan in .pdf and .</w:t>
      </w:r>
      <w:proofErr w:type="spellStart"/>
      <w:r>
        <w:t>dwg</w:t>
      </w:r>
      <w:proofErr w:type="spellEnd"/>
      <w:r>
        <w:t xml:space="preserve"> formats during the technical design coordination. The width of the topographical photograph shall cover the entire area of the OL protection zone.”</w:t>
      </w:r>
    </w:p>
    <w:p w14:paraId="3B2EB1F1" w14:textId="77777777" w:rsidR="0002516B" w:rsidRDefault="00000000">
      <w:pPr>
        <w:pStyle w:val="Pagrindinistekstas"/>
        <w:numPr>
          <w:ilvl w:val="0"/>
          <w:numId w:val="2"/>
        </w:numPr>
        <w:tabs>
          <w:tab w:val="left" w:pos="1175"/>
        </w:tabs>
        <w:ind w:left="1120" w:hanging="260"/>
        <w:jc w:val="both"/>
      </w:pPr>
      <w:bookmarkStart w:id="10" w:name="bookmark10"/>
      <w:bookmarkEnd w:id="10"/>
      <w:r>
        <w:t xml:space="preserve">„48. For the 330 kV Vilnius - Neris OL, one complete phase transposition cycle must be designed. During the preparation of the technical design, the locations (supports) for the transposition of the phases must be agreed with the TSO. Provide dimensional drawings of </w:t>
      </w:r>
      <w:r>
        <w:lastRenderedPageBreak/>
        <w:t>the transposition supports showing the distances from the grounded structures of the support to the live parts and the distances between the conductors of different phases.'</w:t>
      </w:r>
    </w:p>
    <w:p w14:paraId="096D454B" w14:textId="77777777" w:rsidR="0002516B" w:rsidRDefault="00000000">
      <w:pPr>
        <w:pStyle w:val="Pagrindinistekstas"/>
        <w:numPr>
          <w:ilvl w:val="0"/>
          <w:numId w:val="2"/>
        </w:numPr>
        <w:tabs>
          <w:tab w:val="left" w:pos="1175"/>
        </w:tabs>
        <w:ind w:left="1120" w:hanging="260"/>
        <w:jc w:val="both"/>
      </w:pPr>
      <w:bookmarkStart w:id="11" w:name="bookmark11"/>
      <w:bookmarkEnd w:id="11"/>
      <w:r>
        <w:t>„50. Provide calculations and results for the selection of specific locations for the installation of distance spiral-vibration dampers and vibration dampers. The installation of Stockbridge vibration dampers shall be provided at each support at the isolation garlands.”</w:t>
      </w:r>
    </w:p>
    <w:p w14:paraId="40080073" w14:textId="77777777" w:rsidR="0002516B" w:rsidRDefault="00000000">
      <w:pPr>
        <w:pStyle w:val="Pagrindinistekstas"/>
        <w:numPr>
          <w:ilvl w:val="0"/>
          <w:numId w:val="2"/>
        </w:numPr>
        <w:tabs>
          <w:tab w:val="left" w:pos="1122"/>
        </w:tabs>
        <w:spacing w:after="280"/>
        <w:ind w:left="1080" w:hanging="220"/>
        <w:jc w:val="both"/>
      </w:pPr>
      <w:bookmarkStart w:id="12" w:name="bookmark12"/>
      <w:bookmarkEnd w:id="12"/>
      <w:r>
        <w:t>„51. Design the installation of new isolator garlands, linear reinforcement, distance spiral-vibration dampers, vibration dampers and earthing circuits. Provide calculations and results for the selection of the electromechanical characteristics of wires, LPC with FOC</w:t>
      </w:r>
      <w:r>
        <w:rPr>
          <w:b/>
          <w:bCs/>
        </w:rPr>
        <w:t xml:space="preserve">, </w:t>
      </w:r>
      <w:r>
        <w:t xml:space="preserve">insulators and linear reinforcement. Provide drawings (overall dimensions, components) of the insulator garlands. All linear </w:t>
      </w:r>
      <w:proofErr w:type="spellStart"/>
      <w:r>
        <w:t>reinforcementd</w:t>
      </w:r>
      <w:proofErr w:type="spellEnd"/>
      <w:r>
        <w:t xml:space="preserve"> shall be hot-dip galvanised unless otherwise specified in the standard specifications. The linear reinforcement supplied shall comply with and be tested in accordance with the requirements of IEC, LST EN or equivalent standards.”</w:t>
      </w:r>
    </w:p>
    <w:p w14:paraId="0E060A15" w14:textId="77777777" w:rsidR="0002516B" w:rsidRDefault="00000000">
      <w:pPr>
        <w:pStyle w:val="Pagrindinistekstas"/>
        <w:numPr>
          <w:ilvl w:val="0"/>
          <w:numId w:val="2"/>
        </w:numPr>
        <w:tabs>
          <w:tab w:val="left" w:pos="1122"/>
        </w:tabs>
        <w:spacing w:after="280"/>
        <w:ind w:left="1080" w:hanging="220"/>
        <w:jc w:val="both"/>
      </w:pPr>
      <w:bookmarkStart w:id="13" w:name="bookmark13"/>
      <w:bookmarkEnd w:id="13"/>
      <w:r>
        <w:t>„53. Design the installation of permanent signs on the pylons in accordance with the requirements set out in Annex No. 11. Provide passports and cadastral files for the 330 kV OL Vilnius-Neris.”</w:t>
      </w:r>
    </w:p>
    <w:p w14:paraId="18BD73FD" w14:textId="77777777" w:rsidR="0002516B" w:rsidRDefault="00000000">
      <w:pPr>
        <w:pStyle w:val="Pagrindinistekstas"/>
        <w:numPr>
          <w:ilvl w:val="0"/>
          <w:numId w:val="2"/>
        </w:numPr>
        <w:tabs>
          <w:tab w:val="left" w:pos="1122"/>
        </w:tabs>
        <w:spacing w:after="280"/>
        <w:ind w:left="1080" w:hanging="220"/>
        <w:jc w:val="both"/>
      </w:pPr>
      <w:bookmarkStart w:id="14" w:name="bookmark14"/>
      <w:bookmarkEnd w:id="14"/>
      <w:r>
        <w:t>“54. Evaluate the requirements of the “Description of the Obstacle Marking Procedure”, approved by the Order of the Director of the Lithuanian Transport Safety Administration No. 2BE-109 of 26 March 2020. Where the need for day marking is identified, the technical design shall provide for the painting of the pylons in accordance with the requirements of the description.</w:t>
      </w:r>
    </w:p>
    <w:p w14:paraId="371778C4" w14:textId="77777777" w:rsidR="0002516B" w:rsidRDefault="00000000">
      <w:pPr>
        <w:pStyle w:val="Pagrindinistekstas"/>
        <w:numPr>
          <w:ilvl w:val="0"/>
          <w:numId w:val="2"/>
        </w:numPr>
        <w:tabs>
          <w:tab w:val="left" w:pos="1122"/>
        </w:tabs>
        <w:spacing w:after="280"/>
        <w:ind w:left="1080" w:hanging="360"/>
        <w:jc w:val="both"/>
      </w:pPr>
      <w:bookmarkStart w:id="15" w:name="bookmark15"/>
      <w:bookmarkEnd w:id="15"/>
      <w:r>
        <w:t xml:space="preserve">“55 design and select the OL elements in accordance with the requirements set out in Annexes No. 12-25. Annex No. 20 shall not apply to the use of anchor supports for hanging (bypassing) garlands from the anchor supports planned to be used in the 330 kV OL </w:t>
      </w:r>
      <w:proofErr w:type="spellStart"/>
      <w:r>
        <w:t>Jurbarkas-Bitėnai</w:t>
      </w:r>
      <w:proofErr w:type="spellEnd"/>
      <w:r>
        <w:t>.”</w:t>
      </w:r>
    </w:p>
    <w:p w14:paraId="1A80D876" w14:textId="77777777" w:rsidR="0002516B" w:rsidRDefault="00000000">
      <w:pPr>
        <w:pStyle w:val="Pagrindinistekstas"/>
        <w:numPr>
          <w:ilvl w:val="0"/>
          <w:numId w:val="2"/>
        </w:numPr>
        <w:tabs>
          <w:tab w:val="left" w:pos="1122"/>
        </w:tabs>
        <w:spacing w:after="280"/>
        <w:ind w:left="1080" w:hanging="360"/>
        <w:jc w:val="both"/>
      </w:pPr>
      <w:bookmarkStart w:id="16" w:name="bookmark16"/>
      <w:bookmarkEnd w:id="16"/>
      <w:r>
        <w:t>“59 Design for the replacement of 4 pcs. of metal anchor supports with metal anchor supports. In total: 4 pcs.”</w:t>
      </w:r>
    </w:p>
    <w:p w14:paraId="5BFCF7DD" w14:textId="77777777" w:rsidR="0002516B" w:rsidRDefault="00000000">
      <w:pPr>
        <w:pStyle w:val="Pagrindinistekstas"/>
        <w:numPr>
          <w:ilvl w:val="0"/>
          <w:numId w:val="2"/>
        </w:numPr>
        <w:tabs>
          <w:tab w:val="left" w:pos="1122"/>
        </w:tabs>
        <w:spacing w:after="500"/>
        <w:ind w:left="1080" w:hanging="360"/>
        <w:jc w:val="both"/>
      </w:pPr>
      <w:bookmarkStart w:id="17" w:name="bookmark17"/>
      <w:bookmarkEnd w:id="17"/>
      <w:r>
        <w:t xml:space="preserve">“179 The foundations of the supports shall be designed in reinforced concrete of the standard type, factory precast, drilled or </w:t>
      </w:r>
      <w:proofErr w:type="spellStart"/>
      <w:r>
        <w:t>pilons</w:t>
      </w:r>
      <w:proofErr w:type="spellEnd"/>
      <w:r>
        <w:t>. Design work is carried out according to: Building Standard RSN 156-94 “Building Climatology”; Building Technical Regulation STR 2.05.04:2003 “Effects and Loads”; Building Technical Regulation STR 2.05.08:2005 “Design of Steel Structures. General Provisions”; Building Technical Regulation STR 2.05.05:2005 “Design of Concrete and Reinforced Concrete Structures”; Building Technical Regulation STR 1.05.06:2010 “Building Design”; Lithuanian Standard LST EN 1992-1-1:2005 “Eurocode 2. Design of concrete structures. Part 1-1: General rules and rules for buildings”; Lithuanian standard LST EN 1993-1-1:2005 “Eurocode 3. Design of steel structures. Part 1-1” General rules and rules for buildings”; Lithuanian standard LST EN 1997-1:2005 “Eurocode 7. Geotechnical design. Part 1. Basic rules”; Lithuanian standard LST EN 1997-2:2007 “Eurocode 7. Geotechnical design. Part 2: Ground investigation and testing“. The minimum number of tests per site shall be one test borehole per 20 acres, but not less than two test boreholes for small-scale sites; the Lithuanian standard LST EN 1536:2011 “Execution of special geotechnical works. Bored piles”; Lithuanian standard LST EN 12699:2003 “Special geotechnical works. Displacement piles” and other applicable norms in the Republic of Lithuania.”</w:t>
      </w:r>
    </w:p>
    <w:p w14:paraId="12BDC0B0" w14:textId="77777777" w:rsidR="0002516B" w:rsidRDefault="00000000">
      <w:pPr>
        <w:pStyle w:val="Pagrindinistekstas"/>
        <w:numPr>
          <w:ilvl w:val="0"/>
          <w:numId w:val="1"/>
        </w:numPr>
        <w:tabs>
          <w:tab w:val="left" w:pos="1286"/>
        </w:tabs>
        <w:spacing w:after="280"/>
        <w:ind w:firstLine="720"/>
        <w:jc w:val="both"/>
      </w:pPr>
      <w:bookmarkStart w:id="18" w:name="bookmark18"/>
      <w:bookmarkEnd w:id="18"/>
      <w:r>
        <w:rPr>
          <w:b/>
        </w:rPr>
        <w:t>a new Annex shall be added and read as follows:</w:t>
      </w:r>
    </w:p>
    <w:p w14:paraId="1495ECE4" w14:textId="77777777" w:rsidR="0002516B" w:rsidRDefault="00000000">
      <w:pPr>
        <w:pStyle w:val="Pagrindinistekstas"/>
        <w:spacing w:after="0"/>
        <w:ind w:firstLine="720"/>
        <w:jc w:val="both"/>
      </w:pPr>
      <w:r>
        <w:t>ANNEXES:</w:t>
      </w:r>
    </w:p>
    <w:p w14:paraId="56ADAF35" w14:textId="77777777" w:rsidR="0002516B" w:rsidRDefault="00000000" w:rsidP="0085141B">
      <w:pPr>
        <w:pStyle w:val="Pagrindinistekstas"/>
        <w:numPr>
          <w:ilvl w:val="0"/>
          <w:numId w:val="2"/>
        </w:numPr>
        <w:tabs>
          <w:tab w:val="left" w:pos="1286"/>
        </w:tabs>
        <w:spacing w:after="280"/>
        <w:ind w:left="993" w:hanging="273"/>
        <w:jc w:val="both"/>
        <w:sectPr w:rsidR="0002516B" w:rsidSect="00AB34E5">
          <w:headerReference w:type="default" r:id="rId10"/>
          <w:footerReference w:type="default" r:id="rId11"/>
          <w:pgSz w:w="11900" w:h="16840"/>
          <w:pgMar w:top="709" w:right="519" w:bottom="1201" w:left="1104" w:header="0" w:footer="3" w:gutter="0"/>
          <w:cols w:space="720"/>
          <w:noEndnote/>
          <w:docGrid w:linePitch="360"/>
        </w:sectPr>
      </w:pPr>
      <w:bookmarkStart w:id="19" w:name="bookmark19"/>
      <w:bookmarkEnd w:id="19"/>
      <w:r>
        <w:t>„61. Requirements for the compatibility of the procurement object with national security interests,”</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99"/>
        <w:gridCol w:w="8630"/>
      </w:tblGrid>
      <w:tr w:rsidR="0002516B" w14:paraId="169397B3" w14:textId="77777777" w:rsidTr="0057332B">
        <w:trPr>
          <w:trHeight w:hRule="exact" w:val="398"/>
          <w:jc w:val="center"/>
        </w:trPr>
        <w:tc>
          <w:tcPr>
            <w:tcW w:w="1099" w:type="dxa"/>
            <w:shd w:val="clear" w:color="auto" w:fill="FFFFFF"/>
            <w:vAlign w:val="bottom"/>
          </w:tcPr>
          <w:p w14:paraId="60276FED" w14:textId="77777777" w:rsidR="0002516B" w:rsidRDefault="00000000">
            <w:pPr>
              <w:pStyle w:val="Other0"/>
              <w:spacing w:after="0"/>
              <w:ind w:firstLine="460"/>
              <w:rPr>
                <w:sz w:val="20"/>
                <w:szCs w:val="20"/>
              </w:rPr>
            </w:pPr>
            <w:r>
              <w:rPr>
                <w:rFonts w:ascii="Calibri" w:hAnsi="Calibri"/>
                <w:sz w:val="20"/>
              </w:rPr>
              <w:lastRenderedPageBreak/>
              <w:t xml:space="preserve"> No.</w:t>
            </w:r>
          </w:p>
        </w:tc>
        <w:tc>
          <w:tcPr>
            <w:tcW w:w="8630" w:type="dxa"/>
            <w:shd w:val="clear" w:color="auto" w:fill="FFFFFF"/>
            <w:vAlign w:val="bottom"/>
          </w:tcPr>
          <w:p w14:paraId="63FDB19C" w14:textId="77777777" w:rsidR="0002516B" w:rsidRDefault="00000000">
            <w:pPr>
              <w:pStyle w:val="Other0"/>
              <w:spacing w:after="0"/>
              <w:rPr>
                <w:sz w:val="20"/>
                <w:szCs w:val="20"/>
              </w:rPr>
            </w:pPr>
            <w:r>
              <w:rPr>
                <w:rFonts w:ascii="Calibri" w:hAnsi="Calibri"/>
                <w:sz w:val="20"/>
              </w:rPr>
              <w:t>Requirement</w:t>
            </w:r>
          </w:p>
        </w:tc>
      </w:tr>
      <w:tr w:rsidR="0002516B" w14:paraId="2649E4F5" w14:textId="77777777" w:rsidTr="0057332B">
        <w:trPr>
          <w:trHeight w:hRule="exact" w:val="648"/>
          <w:jc w:val="center"/>
        </w:trPr>
        <w:tc>
          <w:tcPr>
            <w:tcW w:w="1099" w:type="dxa"/>
            <w:shd w:val="clear" w:color="auto" w:fill="FFFFFF"/>
          </w:tcPr>
          <w:p w14:paraId="372F6254" w14:textId="77777777" w:rsidR="0002516B" w:rsidRDefault="00000000">
            <w:pPr>
              <w:pStyle w:val="Other0"/>
              <w:spacing w:before="80" w:after="0"/>
              <w:ind w:firstLine="560"/>
              <w:rPr>
                <w:sz w:val="20"/>
                <w:szCs w:val="20"/>
              </w:rPr>
            </w:pPr>
            <w:r>
              <w:rPr>
                <w:rFonts w:ascii="Calibri" w:hAnsi="Calibri"/>
                <w:sz w:val="20"/>
              </w:rPr>
              <w:t>1.</w:t>
            </w:r>
          </w:p>
        </w:tc>
        <w:tc>
          <w:tcPr>
            <w:tcW w:w="8630" w:type="dxa"/>
            <w:shd w:val="clear" w:color="auto" w:fill="FFFFFF"/>
            <w:vAlign w:val="bottom"/>
          </w:tcPr>
          <w:p w14:paraId="2FDC021D" w14:textId="77777777" w:rsidR="0002516B" w:rsidRDefault="00000000">
            <w:pPr>
              <w:pStyle w:val="Other0"/>
              <w:spacing w:after="0" w:line="262" w:lineRule="auto"/>
              <w:rPr>
                <w:sz w:val="20"/>
                <w:szCs w:val="20"/>
              </w:rPr>
            </w:pPr>
            <w:r>
              <w:rPr>
                <w:rFonts w:ascii="Calibri" w:hAnsi="Calibri"/>
                <w:sz w:val="20"/>
              </w:rPr>
              <w:t>The Supplier undertakes that the goods or services offered by the Supplier will not constitute a threat to national security, i.e.:</w:t>
            </w:r>
          </w:p>
        </w:tc>
      </w:tr>
      <w:tr w:rsidR="0002516B" w14:paraId="62E6D58D" w14:textId="77777777" w:rsidTr="0057332B">
        <w:trPr>
          <w:trHeight w:hRule="exact" w:val="624"/>
          <w:jc w:val="center"/>
        </w:trPr>
        <w:tc>
          <w:tcPr>
            <w:tcW w:w="1099" w:type="dxa"/>
            <w:shd w:val="clear" w:color="auto" w:fill="FFFFFF"/>
          </w:tcPr>
          <w:p w14:paraId="7BE15D59" w14:textId="77777777" w:rsidR="0002516B" w:rsidRDefault="00000000">
            <w:pPr>
              <w:pStyle w:val="Other0"/>
              <w:spacing w:after="0"/>
              <w:ind w:firstLine="380"/>
              <w:rPr>
                <w:sz w:val="20"/>
                <w:szCs w:val="20"/>
              </w:rPr>
            </w:pPr>
            <w:r>
              <w:rPr>
                <w:rFonts w:ascii="Calibri" w:hAnsi="Calibri"/>
                <w:sz w:val="20"/>
              </w:rPr>
              <w:t>1.1.1.</w:t>
            </w:r>
          </w:p>
        </w:tc>
        <w:tc>
          <w:tcPr>
            <w:tcW w:w="8630" w:type="dxa"/>
            <w:shd w:val="clear" w:color="auto" w:fill="FFFFFF"/>
            <w:vAlign w:val="bottom"/>
          </w:tcPr>
          <w:p w14:paraId="0FC71114" w14:textId="77777777" w:rsidR="0002516B" w:rsidRDefault="00000000">
            <w:pPr>
              <w:pStyle w:val="Other0"/>
              <w:spacing w:after="0" w:line="262" w:lineRule="auto"/>
              <w:rPr>
                <w:sz w:val="20"/>
                <w:szCs w:val="20"/>
              </w:rPr>
            </w:pPr>
            <w:r>
              <w:rPr>
                <w:rFonts w:ascii="Calibri" w:hAnsi="Calibri"/>
                <w:sz w:val="20"/>
              </w:rPr>
              <w:t>the functioning of the communication and information infrastructure managed by LITGRID AB, which is important for the operations of LITGRID AB, will not be disrupted;</w:t>
            </w:r>
          </w:p>
        </w:tc>
      </w:tr>
      <w:tr w:rsidR="0002516B" w14:paraId="348B6EBC" w14:textId="77777777" w:rsidTr="0057332B">
        <w:trPr>
          <w:trHeight w:hRule="exact" w:val="350"/>
          <w:jc w:val="center"/>
        </w:trPr>
        <w:tc>
          <w:tcPr>
            <w:tcW w:w="1099" w:type="dxa"/>
            <w:shd w:val="clear" w:color="auto" w:fill="FFFFFF"/>
            <w:vAlign w:val="bottom"/>
          </w:tcPr>
          <w:p w14:paraId="4C9B5F48" w14:textId="77777777" w:rsidR="0002516B" w:rsidRDefault="00000000">
            <w:pPr>
              <w:pStyle w:val="Other0"/>
              <w:spacing w:after="0"/>
              <w:ind w:firstLine="380"/>
              <w:rPr>
                <w:sz w:val="20"/>
                <w:szCs w:val="20"/>
              </w:rPr>
            </w:pPr>
            <w:r>
              <w:rPr>
                <w:rFonts w:ascii="Calibri" w:hAnsi="Calibri"/>
                <w:sz w:val="20"/>
              </w:rPr>
              <w:t>1.1.2.</w:t>
            </w:r>
          </w:p>
        </w:tc>
        <w:tc>
          <w:tcPr>
            <w:tcW w:w="8630" w:type="dxa"/>
            <w:shd w:val="clear" w:color="auto" w:fill="FFFFFF"/>
            <w:vAlign w:val="bottom"/>
          </w:tcPr>
          <w:p w14:paraId="7FA33DEB" w14:textId="77777777" w:rsidR="0002516B" w:rsidRDefault="00000000">
            <w:pPr>
              <w:pStyle w:val="Other0"/>
              <w:spacing w:after="0"/>
              <w:rPr>
                <w:sz w:val="20"/>
                <w:szCs w:val="20"/>
              </w:rPr>
            </w:pPr>
            <w:r>
              <w:rPr>
                <w:rFonts w:ascii="Calibri" w:hAnsi="Calibri"/>
                <w:sz w:val="20"/>
              </w:rPr>
              <w:t>the activities of LITGRID AB as a company important for national security will not be disrupted;</w:t>
            </w:r>
          </w:p>
        </w:tc>
      </w:tr>
      <w:tr w:rsidR="0002516B" w14:paraId="2CD92CCC" w14:textId="77777777" w:rsidTr="0057332B">
        <w:trPr>
          <w:trHeight w:hRule="exact" w:val="624"/>
          <w:jc w:val="center"/>
        </w:trPr>
        <w:tc>
          <w:tcPr>
            <w:tcW w:w="1099" w:type="dxa"/>
            <w:shd w:val="clear" w:color="auto" w:fill="FFFFFF"/>
          </w:tcPr>
          <w:p w14:paraId="642400A1" w14:textId="77777777" w:rsidR="0002516B" w:rsidRDefault="00000000">
            <w:pPr>
              <w:pStyle w:val="Other0"/>
              <w:spacing w:after="0"/>
              <w:ind w:firstLine="460"/>
              <w:rPr>
                <w:sz w:val="20"/>
                <w:szCs w:val="20"/>
              </w:rPr>
            </w:pPr>
            <w:r>
              <w:rPr>
                <w:rFonts w:ascii="Calibri" w:hAnsi="Calibri"/>
                <w:sz w:val="20"/>
              </w:rPr>
              <w:t>1.1.3.</w:t>
            </w:r>
          </w:p>
        </w:tc>
        <w:tc>
          <w:tcPr>
            <w:tcW w:w="8630" w:type="dxa"/>
            <w:shd w:val="clear" w:color="auto" w:fill="FFFFFF"/>
            <w:vAlign w:val="bottom"/>
          </w:tcPr>
          <w:p w14:paraId="543914A0" w14:textId="77777777" w:rsidR="0002516B" w:rsidRDefault="00000000">
            <w:pPr>
              <w:pStyle w:val="Other0"/>
              <w:spacing w:after="0" w:line="262" w:lineRule="auto"/>
              <w:rPr>
                <w:sz w:val="20"/>
                <w:szCs w:val="20"/>
              </w:rPr>
            </w:pPr>
            <w:r>
              <w:rPr>
                <w:rFonts w:ascii="Calibri" w:hAnsi="Calibri"/>
                <w:sz w:val="20"/>
              </w:rPr>
              <w:t>there will be no unlawful obtaining of information which constitutes a state or official secret or other non-public (e.g. company’s confidential) information.</w:t>
            </w:r>
          </w:p>
        </w:tc>
      </w:tr>
      <w:tr w:rsidR="0002516B" w14:paraId="1A090C89" w14:textId="77777777" w:rsidTr="0057332B">
        <w:trPr>
          <w:trHeight w:hRule="exact" w:val="5477"/>
          <w:jc w:val="center"/>
        </w:trPr>
        <w:tc>
          <w:tcPr>
            <w:tcW w:w="1099" w:type="dxa"/>
            <w:shd w:val="clear" w:color="auto" w:fill="FFFFFF"/>
          </w:tcPr>
          <w:p w14:paraId="22984C74" w14:textId="77777777" w:rsidR="0002516B" w:rsidRDefault="00000000">
            <w:pPr>
              <w:pStyle w:val="Other0"/>
              <w:spacing w:after="0"/>
              <w:ind w:firstLine="460"/>
              <w:rPr>
                <w:sz w:val="20"/>
                <w:szCs w:val="20"/>
              </w:rPr>
            </w:pPr>
            <w:r>
              <w:rPr>
                <w:rFonts w:ascii="Calibri" w:hAnsi="Calibri"/>
                <w:sz w:val="20"/>
              </w:rPr>
              <w:t>1.1.4.</w:t>
            </w:r>
          </w:p>
        </w:tc>
        <w:tc>
          <w:tcPr>
            <w:tcW w:w="8630" w:type="dxa"/>
            <w:shd w:val="clear" w:color="auto" w:fill="FFFFFF"/>
            <w:vAlign w:val="bottom"/>
          </w:tcPr>
          <w:p w14:paraId="47B9B669" w14:textId="77777777" w:rsidR="0002516B" w:rsidRDefault="00000000">
            <w:pPr>
              <w:pStyle w:val="Other0"/>
              <w:spacing w:after="280" w:line="259" w:lineRule="auto"/>
              <w:rPr>
                <w:sz w:val="20"/>
                <w:szCs w:val="20"/>
              </w:rPr>
            </w:pPr>
            <w:r>
              <w:rPr>
                <w:rFonts w:ascii="Calibri" w:hAnsi="Calibri"/>
                <w:sz w:val="20"/>
              </w:rPr>
              <w:t>offered hardware and software</w:t>
            </w:r>
          </w:p>
          <w:p w14:paraId="3A97C3CB" w14:textId="77777777" w:rsidR="0002516B" w:rsidRDefault="00000000">
            <w:pPr>
              <w:pStyle w:val="Other0"/>
              <w:numPr>
                <w:ilvl w:val="0"/>
                <w:numId w:val="3"/>
              </w:numPr>
              <w:tabs>
                <w:tab w:val="left" w:pos="715"/>
              </w:tabs>
              <w:spacing w:after="0" w:line="259" w:lineRule="auto"/>
              <w:ind w:firstLine="480"/>
              <w:rPr>
                <w:sz w:val="20"/>
                <w:szCs w:val="20"/>
              </w:rPr>
            </w:pPr>
            <w:r>
              <w:rPr>
                <w:rFonts w:ascii="Calibri" w:hAnsi="Calibri"/>
                <w:sz w:val="20"/>
              </w:rPr>
              <w:t>supplier,</w:t>
            </w:r>
          </w:p>
          <w:p w14:paraId="6B3F20EE" w14:textId="77777777" w:rsidR="0002516B" w:rsidRDefault="00000000">
            <w:pPr>
              <w:pStyle w:val="Other0"/>
              <w:numPr>
                <w:ilvl w:val="0"/>
                <w:numId w:val="3"/>
              </w:numPr>
              <w:tabs>
                <w:tab w:val="left" w:pos="720"/>
              </w:tabs>
              <w:spacing w:after="0" w:line="259" w:lineRule="auto"/>
              <w:ind w:firstLine="480"/>
              <w:rPr>
                <w:sz w:val="20"/>
                <w:szCs w:val="20"/>
              </w:rPr>
            </w:pPr>
            <w:r>
              <w:rPr>
                <w:rFonts w:ascii="Calibri" w:hAnsi="Calibri"/>
                <w:sz w:val="20"/>
              </w:rPr>
              <w:t>sub-supplier,</w:t>
            </w:r>
          </w:p>
          <w:p w14:paraId="6FDF30A9" w14:textId="77777777" w:rsidR="0002516B" w:rsidRDefault="00000000">
            <w:pPr>
              <w:pStyle w:val="Other0"/>
              <w:numPr>
                <w:ilvl w:val="0"/>
                <w:numId w:val="3"/>
              </w:numPr>
              <w:tabs>
                <w:tab w:val="left" w:pos="725"/>
              </w:tabs>
              <w:spacing w:after="0" w:line="259" w:lineRule="auto"/>
              <w:ind w:firstLine="480"/>
              <w:rPr>
                <w:sz w:val="20"/>
                <w:szCs w:val="20"/>
              </w:rPr>
            </w:pPr>
            <w:r>
              <w:rPr>
                <w:rFonts w:ascii="Calibri" w:hAnsi="Calibri"/>
                <w:sz w:val="20"/>
              </w:rPr>
              <w:t>the economic operator whose capacity is relied upon</w:t>
            </w:r>
          </w:p>
          <w:p w14:paraId="605ABA4E" w14:textId="77777777" w:rsidR="0002516B" w:rsidRDefault="00000000">
            <w:pPr>
              <w:pStyle w:val="Other0"/>
              <w:numPr>
                <w:ilvl w:val="0"/>
                <w:numId w:val="3"/>
              </w:numPr>
              <w:tabs>
                <w:tab w:val="left" w:pos="720"/>
              </w:tabs>
              <w:spacing w:after="0" w:line="259" w:lineRule="auto"/>
              <w:ind w:firstLine="480"/>
              <w:rPr>
                <w:sz w:val="20"/>
                <w:szCs w:val="20"/>
              </w:rPr>
            </w:pPr>
            <w:r>
              <w:rPr>
                <w:rFonts w:ascii="Calibri" w:hAnsi="Calibri"/>
                <w:sz w:val="20"/>
              </w:rPr>
              <w:t>or the person who controls it[1]</w:t>
            </w:r>
          </w:p>
          <w:p w14:paraId="13AA265E" w14:textId="77777777" w:rsidR="0002516B" w:rsidRDefault="00000000">
            <w:pPr>
              <w:pStyle w:val="Other0"/>
              <w:numPr>
                <w:ilvl w:val="0"/>
                <w:numId w:val="3"/>
              </w:numPr>
              <w:tabs>
                <w:tab w:val="left" w:pos="725"/>
              </w:tabs>
              <w:spacing w:after="280" w:line="259" w:lineRule="auto"/>
              <w:ind w:firstLine="480"/>
              <w:rPr>
                <w:sz w:val="20"/>
                <w:szCs w:val="20"/>
              </w:rPr>
            </w:pPr>
            <w:r>
              <w:rPr>
                <w:rFonts w:ascii="Calibri" w:hAnsi="Calibri"/>
                <w:sz w:val="20"/>
              </w:rPr>
              <w:t>and/or the manufacturer or the person who controls it</w:t>
            </w:r>
          </w:p>
          <w:p w14:paraId="018EAA6F" w14:textId="77777777" w:rsidR="0002516B" w:rsidRDefault="00000000">
            <w:pPr>
              <w:pStyle w:val="Other0"/>
              <w:spacing w:after="280" w:line="259" w:lineRule="auto"/>
              <w:rPr>
                <w:sz w:val="20"/>
                <w:szCs w:val="20"/>
              </w:rPr>
            </w:pPr>
            <w:r>
              <w:rPr>
                <w:rFonts w:ascii="Calibri" w:hAnsi="Calibri"/>
                <w:sz w:val="20"/>
              </w:rPr>
              <w:t>are not registered (if the manufacturer or the person controlling the manufacturer is a natural person with permanent residence or nationality) in the countries or territories referred to in the list provided for in Article 92(14) of the Law on Public Procurement:</w:t>
            </w:r>
          </w:p>
          <w:p w14:paraId="592D2656" w14:textId="77777777" w:rsidR="0002516B" w:rsidRDefault="00000000">
            <w:pPr>
              <w:pStyle w:val="Other0"/>
              <w:spacing w:after="280" w:line="259" w:lineRule="auto"/>
              <w:rPr>
                <w:sz w:val="20"/>
                <w:szCs w:val="20"/>
              </w:rPr>
            </w:pPr>
            <w:r>
              <w:rPr>
                <w:rFonts w:ascii="Calibri" w:hAnsi="Calibri"/>
                <w:sz w:val="20"/>
              </w:rPr>
              <w:t>When providing services or works</w:t>
            </w:r>
          </w:p>
          <w:p w14:paraId="34248C0F" w14:textId="77777777" w:rsidR="0002516B" w:rsidRDefault="00000000">
            <w:pPr>
              <w:pStyle w:val="Other0"/>
              <w:numPr>
                <w:ilvl w:val="0"/>
                <w:numId w:val="3"/>
              </w:numPr>
              <w:tabs>
                <w:tab w:val="left" w:pos="720"/>
              </w:tabs>
              <w:spacing w:after="0" w:line="259" w:lineRule="auto"/>
              <w:ind w:firstLine="480"/>
              <w:rPr>
                <w:sz w:val="20"/>
                <w:szCs w:val="20"/>
              </w:rPr>
            </w:pPr>
            <w:r>
              <w:rPr>
                <w:rFonts w:ascii="Calibri" w:hAnsi="Calibri"/>
                <w:sz w:val="20"/>
              </w:rPr>
              <w:t>the persons who maintain or support the equipment, or those who control them, are not</w:t>
            </w:r>
          </w:p>
          <w:p w14:paraId="791DE015" w14:textId="77777777" w:rsidR="0002516B" w:rsidRDefault="0002516B">
            <w:pPr>
              <w:pStyle w:val="Other0"/>
              <w:spacing w:after="0" w:line="259" w:lineRule="auto"/>
              <w:ind w:firstLine="860"/>
              <w:rPr>
                <w:sz w:val="20"/>
                <w:szCs w:val="20"/>
              </w:rPr>
            </w:pPr>
          </w:p>
          <w:p w14:paraId="0A2A6E28" w14:textId="77777777" w:rsidR="0002516B" w:rsidRDefault="00000000">
            <w:pPr>
              <w:pStyle w:val="Other0"/>
              <w:numPr>
                <w:ilvl w:val="0"/>
                <w:numId w:val="3"/>
              </w:numPr>
              <w:tabs>
                <w:tab w:val="left" w:pos="715"/>
              </w:tabs>
              <w:spacing w:after="280" w:line="259" w:lineRule="auto"/>
              <w:ind w:firstLine="480"/>
              <w:rPr>
                <w:sz w:val="20"/>
                <w:szCs w:val="20"/>
              </w:rPr>
            </w:pPr>
            <w:r>
              <w:rPr>
                <w:rFonts w:ascii="Calibri" w:hAnsi="Calibri"/>
                <w:sz w:val="20"/>
              </w:rPr>
              <w:t>maintenance or support of hardware or software is not/will not be carried out</w:t>
            </w:r>
          </w:p>
          <w:p w14:paraId="18D0B6FF" w14:textId="77777777" w:rsidR="0002516B" w:rsidRDefault="00000000">
            <w:pPr>
              <w:pStyle w:val="Other0"/>
              <w:spacing w:after="280" w:line="257" w:lineRule="auto"/>
              <w:ind w:left="360"/>
              <w:rPr>
                <w:sz w:val="20"/>
                <w:szCs w:val="20"/>
              </w:rPr>
            </w:pPr>
            <w:r>
              <w:rPr>
                <w:rFonts w:ascii="Calibri" w:hAnsi="Calibri"/>
                <w:sz w:val="20"/>
              </w:rPr>
              <w:t>from the countries or territories referred to in the list provided for in Article 92(14) of the Law on Public Procurement:</w:t>
            </w:r>
          </w:p>
        </w:tc>
      </w:tr>
      <w:tr w:rsidR="0002516B" w14:paraId="352E8821" w14:textId="77777777" w:rsidTr="0057332B">
        <w:trPr>
          <w:trHeight w:hRule="exact" w:val="360"/>
          <w:jc w:val="center"/>
        </w:trPr>
        <w:tc>
          <w:tcPr>
            <w:tcW w:w="1099" w:type="dxa"/>
            <w:shd w:val="clear" w:color="auto" w:fill="FFFFFF"/>
            <w:vAlign w:val="bottom"/>
          </w:tcPr>
          <w:p w14:paraId="6832AA93" w14:textId="77777777" w:rsidR="0002516B" w:rsidRDefault="00000000">
            <w:pPr>
              <w:pStyle w:val="Other0"/>
              <w:spacing w:after="0"/>
              <w:rPr>
                <w:sz w:val="20"/>
                <w:szCs w:val="20"/>
              </w:rPr>
            </w:pPr>
            <w:r>
              <w:rPr>
                <w:rFonts w:ascii="Calibri" w:hAnsi="Calibri"/>
                <w:sz w:val="20"/>
              </w:rPr>
              <w:t>1.1.4.1.</w:t>
            </w:r>
          </w:p>
        </w:tc>
        <w:tc>
          <w:tcPr>
            <w:tcW w:w="8630" w:type="dxa"/>
            <w:shd w:val="clear" w:color="auto" w:fill="FFFFFF"/>
            <w:vAlign w:val="bottom"/>
          </w:tcPr>
          <w:p w14:paraId="7AC6BC30" w14:textId="77777777" w:rsidR="0002516B" w:rsidRDefault="00000000">
            <w:pPr>
              <w:pStyle w:val="Other0"/>
              <w:spacing w:after="0"/>
              <w:rPr>
                <w:sz w:val="20"/>
                <w:szCs w:val="20"/>
              </w:rPr>
            </w:pPr>
            <w:r>
              <w:rPr>
                <w:rFonts w:ascii="Calibri" w:hAnsi="Calibri"/>
                <w:sz w:val="20"/>
              </w:rPr>
              <w:t>Russian Federation;</w:t>
            </w:r>
          </w:p>
        </w:tc>
      </w:tr>
      <w:tr w:rsidR="0002516B" w14:paraId="2C6C1615" w14:textId="77777777" w:rsidTr="0057332B">
        <w:trPr>
          <w:trHeight w:hRule="exact" w:val="355"/>
          <w:jc w:val="center"/>
        </w:trPr>
        <w:tc>
          <w:tcPr>
            <w:tcW w:w="1099" w:type="dxa"/>
            <w:shd w:val="clear" w:color="auto" w:fill="FFFFFF"/>
            <w:vAlign w:val="bottom"/>
          </w:tcPr>
          <w:p w14:paraId="55293C38" w14:textId="77777777" w:rsidR="0002516B" w:rsidRDefault="00000000">
            <w:pPr>
              <w:pStyle w:val="Other0"/>
              <w:spacing w:after="0"/>
              <w:rPr>
                <w:sz w:val="20"/>
                <w:szCs w:val="20"/>
              </w:rPr>
            </w:pPr>
            <w:r>
              <w:rPr>
                <w:rFonts w:ascii="Calibri" w:hAnsi="Calibri"/>
                <w:sz w:val="20"/>
              </w:rPr>
              <w:t>1.1.4.2.</w:t>
            </w:r>
          </w:p>
        </w:tc>
        <w:tc>
          <w:tcPr>
            <w:tcW w:w="8630" w:type="dxa"/>
            <w:shd w:val="clear" w:color="auto" w:fill="FFFFFF"/>
            <w:vAlign w:val="bottom"/>
          </w:tcPr>
          <w:p w14:paraId="29F80F34" w14:textId="77777777" w:rsidR="0002516B" w:rsidRDefault="00000000">
            <w:pPr>
              <w:pStyle w:val="Other0"/>
              <w:spacing w:after="0"/>
              <w:rPr>
                <w:sz w:val="20"/>
                <w:szCs w:val="20"/>
              </w:rPr>
            </w:pPr>
            <w:r>
              <w:rPr>
                <w:rFonts w:ascii="Calibri" w:hAnsi="Calibri"/>
                <w:sz w:val="20"/>
              </w:rPr>
              <w:t>The Republic of Belarus;</w:t>
            </w:r>
          </w:p>
        </w:tc>
      </w:tr>
      <w:tr w:rsidR="0002516B" w14:paraId="3165E5CB" w14:textId="77777777" w:rsidTr="0057332B">
        <w:trPr>
          <w:trHeight w:hRule="exact" w:val="624"/>
          <w:jc w:val="center"/>
        </w:trPr>
        <w:tc>
          <w:tcPr>
            <w:tcW w:w="1099" w:type="dxa"/>
            <w:shd w:val="clear" w:color="auto" w:fill="FFFFFF"/>
          </w:tcPr>
          <w:p w14:paraId="4997F573" w14:textId="77777777" w:rsidR="0002516B" w:rsidRDefault="00000000">
            <w:pPr>
              <w:pStyle w:val="Other0"/>
              <w:spacing w:after="0"/>
              <w:rPr>
                <w:sz w:val="20"/>
                <w:szCs w:val="20"/>
              </w:rPr>
            </w:pPr>
            <w:r>
              <w:rPr>
                <w:rFonts w:ascii="Calibri" w:hAnsi="Calibri"/>
                <w:sz w:val="20"/>
              </w:rPr>
              <w:t>1.1.4.3.</w:t>
            </w:r>
          </w:p>
        </w:tc>
        <w:tc>
          <w:tcPr>
            <w:tcW w:w="8630" w:type="dxa"/>
            <w:shd w:val="clear" w:color="auto" w:fill="FFFFFF"/>
            <w:vAlign w:val="bottom"/>
          </w:tcPr>
          <w:p w14:paraId="65B0241A" w14:textId="77777777" w:rsidR="0002516B" w:rsidRDefault="00000000">
            <w:pPr>
              <w:pStyle w:val="Other0"/>
              <w:spacing w:after="0" w:line="262" w:lineRule="auto"/>
              <w:rPr>
                <w:sz w:val="20"/>
                <w:szCs w:val="20"/>
              </w:rPr>
            </w:pPr>
            <w:r>
              <w:rPr>
                <w:rFonts w:ascii="Calibri" w:hAnsi="Calibri"/>
                <w:sz w:val="20"/>
              </w:rPr>
              <w:t>People’s Republic of China, not applicable in the Separate Customs Territory of Taiwan (Penghu, Kinmen and Matsu);</w:t>
            </w:r>
          </w:p>
        </w:tc>
      </w:tr>
      <w:tr w:rsidR="0002516B" w14:paraId="1A07C61D" w14:textId="77777777" w:rsidTr="0057332B">
        <w:trPr>
          <w:trHeight w:hRule="exact" w:val="355"/>
          <w:jc w:val="center"/>
        </w:trPr>
        <w:tc>
          <w:tcPr>
            <w:tcW w:w="1099" w:type="dxa"/>
            <w:shd w:val="clear" w:color="auto" w:fill="FFFFFF"/>
            <w:vAlign w:val="bottom"/>
          </w:tcPr>
          <w:p w14:paraId="2D2D6940" w14:textId="77777777" w:rsidR="0002516B" w:rsidRDefault="00000000">
            <w:pPr>
              <w:pStyle w:val="Other0"/>
              <w:spacing w:after="0"/>
              <w:rPr>
                <w:sz w:val="20"/>
                <w:szCs w:val="20"/>
              </w:rPr>
            </w:pPr>
            <w:r>
              <w:rPr>
                <w:rFonts w:ascii="Calibri" w:hAnsi="Calibri"/>
                <w:sz w:val="20"/>
              </w:rPr>
              <w:t>1.1.4.4.</w:t>
            </w:r>
          </w:p>
        </w:tc>
        <w:tc>
          <w:tcPr>
            <w:tcW w:w="8630" w:type="dxa"/>
            <w:shd w:val="clear" w:color="auto" w:fill="FFFFFF"/>
            <w:vAlign w:val="bottom"/>
          </w:tcPr>
          <w:p w14:paraId="422B812F" w14:textId="77777777" w:rsidR="0002516B" w:rsidRDefault="00000000">
            <w:pPr>
              <w:pStyle w:val="Other0"/>
              <w:spacing w:after="0"/>
              <w:rPr>
                <w:sz w:val="20"/>
                <w:szCs w:val="20"/>
              </w:rPr>
            </w:pPr>
            <w:r>
              <w:rPr>
                <w:rFonts w:ascii="Calibri" w:hAnsi="Calibri"/>
                <w:sz w:val="20"/>
              </w:rPr>
              <w:t>Crimea annexed by the Russian Federation;</w:t>
            </w:r>
          </w:p>
        </w:tc>
      </w:tr>
      <w:tr w:rsidR="0002516B" w14:paraId="6C626086" w14:textId="77777777" w:rsidTr="0057332B">
        <w:trPr>
          <w:trHeight w:hRule="exact" w:val="355"/>
          <w:jc w:val="center"/>
        </w:trPr>
        <w:tc>
          <w:tcPr>
            <w:tcW w:w="1099" w:type="dxa"/>
            <w:shd w:val="clear" w:color="auto" w:fill="FFFFFF"/>
            <w:vAlign w:val="bottom"/>
          </w:tcPr>
          <w:p w14:paraId="3747F870" w14:textId="77777777" w:rsidR="0002516B" w:rsidRDefault="00000000">
            <w:pPr>
              <w:pStyle w:val="Other0"/>
              <w:spacing w:after="0"/>
              <w:rPr>
                <w:sz w:val="20"/>
                <w:szCs w:val="20"/>
              </w:rPr>
            </w:pPr>
            <w:r>
              <w:rPr>
                <w:rFonts w:ascii="Calibri" w:hAnsi="Calibri"/>
                <w:sz w:val="20"/>
              </w:rPr>
              <w:t>1.1.4.5.</w:t>
            </w:r>
          </w:p>
        </w:tc>
        <w:tc>
          <w:tcPr>
            <w:tcW w:w="8630" w:type="dxa"/>
            <w:shd w:val="clear" w:color="auto" w:fill="FFFFFF"/>
            <w:vAlign w:val="bottom"/>
          </w:tcPr>
          <w:p w14:paraId="5F12B97A" w14:textId="77777777" w:rsidR="0002516B" w:rsidRDefault="00000000">
            <w:pPr>
              <w:pStyle w:val="Other0"/>
              <w:spacing w:after="0"/>
              <w:rPr>
                <w:sz w:val="20"/>
                <w:szCs w:val="20"/>
              </w:rPr>
            </w:pPr>
            <w:r>
              <w:rPr>
                <w:rFonts w:ascii="Calibri" w:hAnsi="Calibri"/>
                <w:sz w:val="20"/>
              </w:rPr>
              <w:t>The territory of Transnistria, which is not under the control of the Government of the Republic of Moldova;</w:t>
            </w:r>
          </w:p>
        </w:tc>
      </w:tr>
      <w:tr w:rsidR="0002516B" w14:paraId="2742009F" w14:textId="77777777" w:rsidTr="0057332B">
        <w:trPr>
          <w:trHeight w:hRule="exact" w:val="355"/>
          <w:jc w:val="center"/>
        </w:trPr>
        <w:tc>
          <w:tcPr>
            <w:tcW w:w="1099" w:type="dxa"/>
            <w:shd w:val="clear" w:color="auto" w:fill="FFFFFF"/>
            <w:vAlign w:val="bottom"/>
          </w:tcPr>
          <w:p w14:paraId="151DE167" w14:textId="77777777" w:rsidR="0002516B" w:rsidRDefault="00000000">
            <w:pPr>
              <w:pStyle w:val="Other0"/>
              <w:spacing w:after="0"/>
              <w:rPr>
                <w:sz w:val="20"/>
                <w:szCs w:val="20"/>
              </w:rPr>
            </w:pPr>
            <w:r>
              <w:rPr>
                <w:rFonts w:ascii="Calibri" w:hAnsi="Calibri"/>
                <w:sz w:val="20"/>
              </w:rPr>
              <w:t>1.1.4.6.</w:t>
            </w:r>
          </w:p>
        </w:tc>
        <w:tc>
          <w:tcPr>
            <w:tcW w:w="8630" w:type="dxa"/>
            <w:shd w:val="clear" w:color="auto" w:fill="FFFFFF"/>
            <w:vAlign w:val="bottom"/>
          </w:tcPr>
          <w:p w14:paraId="365CF579" w14:textId="77777777" w:rsidR="0002516B" w:rsidRDefault="00000000">
            <w:pPr>
              <w:pStyle w:val="Other0"/>
              <w:spacing w:after="0"/>
              <w:rPr>
                <w:sz w:val="20"/>
                <w:szCs w:val="20"/>
              </w:rPr>
            </w:pPr>
            <w:r>
              <w:rPr>
                <w:rFonts w:ascii="Calibri" w:hAnsi="Calibri"/>
                <w:sz w:val="20"/>
              </w:rPr>
              <w:t>The territories of Abkhazia and South Ossetia, which are not under the control of the Government of Sakartvelo.</w:t>
            </w:r>
          </w:p>
        </w:tc>
      </w:tr>
      <w:tr w:rsidR="0002516B" w14:paraId="5663E383" w14:textId="77777777" w:rsidTr="0057332B">
        <w:trPr>
          <w:trHeight w:hRule="exact" w:val="2798"/>
          <w:jc w:val="center"/>
        </w:trPr>
        <w:tc>
          <w:tcPr>
            <w:tcW w:w="1099" w:type="dxa"/>
            <w:shd w:val="clear" w:color="auto" w:fill="FFFFFF"/>
          </w:tcPr>
          <w:p w14:paraId="2A1E8930" w14:textId="77777777" w:rsidR="0002516B" w:rsidRDefault="00000000">
            <w:pPr>
              <w:pStyle w:val="Other0"/>
              <w:spacing w:after="0"/>
              <w:rPr>
                <w:sz w:val="20"/>
                <w:szCs w:val="20"/>
              </w:rPr>
            </w:pPr>
            <w:r>
              <w:rPr>
                <w:rFonts w:ascii="Calibri" w:hAnsi="Calibri"/>
                <w:sz w:val="20"/>
              </w:rPr>
              <w:t>1.1.5.</w:t>
            </w:r>
          </w:p>
        </w:tc>
        <w:tc>
          <w:tcPr>
            <w:tcW w:w="8630" w:type="dxa"/>
            <w:shd w:val="clear" w:color="auto" w:fill="FFFFFF"/>
          </w:tcPr>
          <w:p w14:paraId="7081BD78" w14:textId="77777777" w:rsidR="0002516B" w:rsidRDefault="00000000">
            <w:pPr>
              <w:pStyle w:val="Other0"/>
              <w:spacing w:after="0" w:line="259" w:lineRule="auto"/>
              <w:rPr>
                <w:sz w:val="20"/>
                <w:szCs w:val="20"/>
              </w:rPr>
            </w:pPr>
            <w:r>
              <w:rPr>
                <w:rFonts w:ascii="Calibri" w:hAnsi="Calibri"/>
                <w:sz w:val="20"/>
              </w:rPr>
              <w:t>the goods offered by (including their components):</w:t>
            </w:r>
          </w:p>
          <w:p w14:paraId="3C4E85ED" w14:textId="77777777" w:rsidR="0002516B" w:rsidRDefault="00000000">
            <w:pPr>
              <w:pStyle w:val="Other0"/>
              <w:numPr>
                <w:ilvl w:val="0"/>
                <w:numId w:val="4"/>
              </w:numPr>
              <w:tabs>
                <w:tab w:val="left" w:pos="715"/>
              </w:tabs>
              <w:spacing w:after="0" w:line="259" w:lineRule="auto"/>
              <w:ind w:firstLine="360"/>
              <w:rPr>
                <w:sz w:val="20"/>
                <w:szCs w:val="20"/>
              </w:rPr>
            </w:pPr>
            <w:r>
              <w:rPr>
                <w:rFonts w:ascii="Calibri" w:hAnsi="Calibri"/>
                <w:sz w:val="20"/>
              </w:rPr>
              <w:t>supplier,</w:t>
            </w:r>
          </w:p>
          <w:p w14:paraId="2B74AD24" w14:textId="77777777" w:rsidR="0002516B" w:rsidRDefault="00000000">
            <w:pPr>
              <w:pStyle w:val="Other0"/>
              <w:numPr>
                <w:ilvl w:val="0"/>
                <w:numId w:val="4"/>
              </w:numPr>
              <w:tabs>
                <w:tab w:val="left" w:pos="720"/>
              </w:tabs>
              <w:spacing w:after="0" w:line="259" w:lineRule="auto"/>
              <w:ind w:firstLine="360"/>
              <w:rPr>
                <w:sz w:val="20"/>
                <w:szCs w:val="20"/>
              </w:rPr>
            </w:pPr>
            <w:r>
              <w:rPr>
                <w:rFonts w:ascii="Calibri" w:hAnsi="Calibri"/>
                <w:sz w:val="20"/>
              </w:rPr>
              <w:t>sub-supplier,</w:t>
            </w:r>
          </w:p>
          <w:p w14:paraId="362301F7" w14:textId="77777777" w:rsidR="0002516B" w:rsidRDefault="00000000">
            <w:pPr>
              <w:pStyle w:val="Other0"/>
              <w:numPr>
                <w:ilvl w:val="0"/>
                <w:numId w:val="4"/>
              </w:numPr>
              <w:tabs>
                <w:tab w:val="left" w:pos="725"/>
              </w:tabs>
              <w:spacing w:after="0" w:line="259" w:lineRule="auto"/>
              <w:ind w:firstLine="360"/>
              <w:rPr>
                <w:sz w:val="20"/>
                <w:szCs w:val="20"/>
              </w:rPr>
            </w:pPr>
            <w:r>
              <w:rPr>
                <w:rFonts w:ascii="Calibri" w:hAnsi="Calibri"/>
                <w:sz w:val="20"/>
              </w:rPr>
              <w:t>the economic operator whose capacity is relied upon</w:t>
            </w:r>
          </w:p>
          <w:p w14:paraId="780F29EF" w14:textId="77777777" w:rsidR="0002516B" w:rsidRDefault="00000000">
            <w:pPr>
              <w:pStyle w:val="Other0"/>
              <w:numPr>
                <w:ilvl w:val="0"/>
                <w:numId w:val="4"/>
              </w:numPr>
              <w:tabs>
                <w:tab w:val="left" w:pos="720"/>
              </w:tabs>
              <w:spacing w:after="0" w:line="259" w:lineRule="auto"/>
              <w:ind w:firstLine="360"/>
              <w:rPr>
                <w:sz w:val="20"/>
                <w:szCs w:val="20"/>
              </w:rPr>
            </w:pPr>
            <w:r>
              <w:rPr>
                <w:rFonts w:ascii="Calibri" w:hAnsi="Calibri"/>
                <w:sz w:val="20"/>
              </w:rPr>
              <w:t>or the person who controls it[1]</w:t>
            </w:r>
          </w:p>
          <w:p w14:paraId="78C8A16B" w14:textId="77777777" w:rsidR="0002516B" w:rsidRDefault="00000000">
            <w:pPr>
              <w:pStyle w:val="Other0"/>
              <w:numPr>
                <w:ilvl w:val="0"/>
                <w:numId w:val="4"/>
              </w:numPr>
              <w:tabs>
                <w:tab w:val="left" w:pos="725"/>
              </w:tabs>
              <w:spacing w:after="0" w:line="259" w:lineRule="auto"/>
              <w:ind w:firstLine="360"/>
              <w:rPr>
                <w:sz w:val="20"/>
                <w:szCs w:val="20"/>
              </w:rPr>
            </w:pPr>
            <w:r>
              <w:rPr>
                <w:rFonts w:ascii="Calibri" w:hAnsi="Calibri"/>
                <w:sz w:val="20"/>
              </w:rPr>
              <w:t>and/or the manufacturer or the person who controls it</w:t>
            </w:r>
          </w:p>
          <w:p w14:paraId="43E57FC8" w14:textId="77777777" w:rsidR="0002516B" w:rsidRDefault="00000000">
            <w:pPr>
              <w:pStyle w:val="Other0"/>
              <w:spacing w:after="0" w:line="259" w:lineRule="auto"/>
              <w:rPr>
                <w:sz w:val="20"/>
                <w:szCs w:val="20"/>
              </w:rPr>
            </w:pPr>
            <w:r>
              <w:rPr>
                <w:rFonts w:ascii="Calibri" w:hAnsi="Calibri"/>
                <w:sz w:val="20"/>
              </w:rPr>
              <w:t>are not registered (if the manufacturer or the person controlling the manufacturer is a natural person with permanent residence or nationality) in the countries or territories referred to in the list provided for in Article 92(15) of the Law on Public Procurement:</w:t>
            </w:r>
          </w:p>
        </w:tc>
      </w:tr>
    </w:tbl>
    <w:p w14:paraId="511BF9D9" w14:textId="77777777" w:rsidR="0002516B" w:rsidRDefault="00000000">
      <w:pPr>
        <w:spacing w:line="1" w:lineRule="exact"/>
      </w:pPr>
      <w:r>
        <w:rPr>
          <w:noProof/>
        </w:rPr>
        <mc:AlternateContent>
          <mc:Choice Requires="wps">
            <w:drawing>
              <wp:anchor distT="0" distB="50800" distL="114300" distR="114300" simplePos="0" relativeHeight="125829381" behindDoc="0" locked="0" layoutInCell="1" allowOverlap="1" wp14:anchorId="0AC62EA8" wp14:editId="6FF8A3FE">
                <wp:simplePos x="0" y="0"/>
                <wp:positionH relativeFrom="page">
                  <wp:posOffset>1033145</wp:posOffset>
                </wp:positionH>
                <wp:positionV relativeFrom="margin">
                  <wp:posOffset>460375</wp:posOffset>
                </wp:positionV>
                <wp:extent cx="4416425" cy="22860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4416425" cy="228600"/>
                        </a:xfrm>
                        <a:prstGeom prst="rect">
                          <a:avLst/>
                        </a:prstGeom>
                        <a:noFill/>
                      </wps:spPr>
                      <wps:txbx>
                        <w:txbxContent>
                          <w:p w14:paraId="65838546" w14:textId="77777777" w:rsidR="0002516B" w:rsidRDefault="00000000">
                            <w:pPr>
                              <w:pStyle w:val="Bodytext30"/>
                              <w:spacing w:after="0"/>
                              <w:ind w:firstLine="0"/>
                            </w:pPr>
                            <w:r>
                              <w:t>Requirements for the compatibility of the procurement object with national security interests</w:t>
                            </w:r>
                          </w:p>
                        </w:txbxContent>
                      </wps:txbx>
                      <wps:bodyPr wrap="none" lIns="0" tIns="0" rIns="0" bIns="0"/>
                    </wps:wsp>
                  </a:graphicData>
                </a:graphic>
              </wp:anchor>
            </w:drawing>
          </mc:Choice>
          <mc:Fallback>
            <w:pict>
              <v:shape w14:anchorId="0AC62EA8" id="Shape 13" o:spid="_x0000_s1027" type="#_x0000_t202" style="position:absolute;margin-left:81.35pt;margin-top:36.25pt;width:347.75pt;height:18pt;z-index:125829381;visibility:visible;mso-wrap-style:none;mso-wrap-distance-left:9pt;mso-wrap-distance-top:0;mso-wrap-distance-right:9pt;mso-wrap-distance-bottom: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" filled="f" stroked="f">
                <v:textbox inset="0,0,0,0">
                  <w:txbxContent>
                    <w:p w14:paraId="65838546" w14:textId="77777777" w:rsidR="0002516B" w:rsidRDefault="00000000">
                      <w:pPr>
                        <w:pStyle w:val="Bodytext30"/>
                        <w:spacing w:after="0"/>
                        <w:ind w:firstLine="0"/>
                      </w:pPr>
                      <w:r>
                        <w:t>Requirements for the compatibility of the procurement object with national security interests</w:t>
                      </w:r>
                    </w:p>
                  </w:txbxContent>
                </v:textbox>
                <w10:wrap type="topAndBottom" anchorx="page" anchory="margin"/>
              </v:shape>
            </w:pict>
          </mc:Fallback>
        </mc:AlternateConten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85"/>
        <w:gridCol w:w="8621"/>
      </w:tblGrid>
      <w:tr w:rsidR="0002516B" w14:paraId="004BEBD4" w14:textId="77777777">
        <w:trPr>
          <w:trHeight w:hRule="exact" w:val="389"/>
          <w:jc w:val="center"/>
        </w:trPr>
        <w:tc>
          <w:tcPr>
            <w:tcW w:w="1085" w:type="dxa"/>
            <w:tcBorders>
              <w:top w:val="single" w:sz="4" w:space="0" w:color="auto"/>
              <w:left w:val="single" w:sz="4" w:space="0" w:color="auto"/>
            </w:tcBorders>
            <w:shd w:val="clear" w:color="auto" w:fill="FFFFFF"/>
            <w:vAlign w:val="bottom"/>
          </w:tcPr>
          <w:p w14:paraId="394CCAD5" w14:textId="77777777" w:rsidR="0002516B" w:rsidRDefault="00000000">
            <w:pPr>
              <w:pStyle w:val="Other0"/>
              <w:spacing w:after="0"/>
              <w:rPr>
                <w:sz w:val="20"/>
                <w:szCs w:val="20"/>
              </w:rPr>
            </w:pPr>
            <w:r>
              <w:rPr>
                <w:rFonts w:ascii="Calibri" w:hAnsi="Calibri"/>
                <w:sz w:val="20"/>
              </w:rPr>
              <w:lastRenderedPageBreak/>
              <w:t>1.1.5.1.</w:t>
            </w:r>
          </w:p>
        </w:tc>
        <w:tc>
          <w:tcPr>
            <w:tcW w:w="8621" w:type="dxa"/>
            <w:tcBorders>
              <w:top w:val="single" w:sz="4" w:space="0" w:color="auto"/>
              <w:left w:val="single" w:sz="4" w:space="0" w:color="auto"/>
              <w:right w:val="single" w:sz="4" w:space="0" w:color="auto"/>
            </w:tcBorders>
            <w:shd w:val="clear" w:color="auto" w:fill="FFFFFF"/>
            <w:vAlign w:val="bottom"/>
          </w:tcPr>
          <w:p w14:paraId="520E0E6A" w14:textId="77777777" w:rsidR="0002516B" w:rsidRDefault="00000000">
            <w:pPr>
              <w:pStyle w:val="Other0"/>
              <w:spacing w:after="0"/>
              <w:rPr>
                <w:sz w:val="20"/>
                <w:szCs w:val="20"/>
              </w:rPr>
            </w:pPr>
            <w:r>
              <w:rPr>
                <w:rFonts w:ascii="Calibri" w:hAnsi="Calibri"/>
                <w:sz w:val="20"/>
              </w:rPr>
              <w:t>Russian Federation;</w:t>
            </w:r>
          </w:p>
        </w:tc>
      </w:tr>
      <w:tr w:rsidR="0002516B" w14:paraId="00B372BF" w14:textId="77777777">
        <w:trPr>
          <w:trHeight w:hRule="exact" w:val="355"/>
          <w:jc w:val="center"/>
        </w:trPr>
        <w:tc>
          <w:tcPr>
            <w:tcW w:w="1085" w:type="dxa"/>
            <w:tcBorders>
              <w:top w:val="single" w:sz="4" w:space="0" w:color="auto"/>
              <w:left w:val="single" w:sz="4" w:space="0" w:color="auto"/>
            </w:tcBorders>
            <w:shd w:val="clear" w:color="auto" w:fill="FFFFFF"/>
            <w:vAlign w:val="bottom"/>
          </w:tcPr>
          <w:p w14:paraId="7BA2C608" w14:textId="77777777" w:rsidR="0002516B" w:rsidRDefault="00000000">
            <w:pPr>
              <w:pStyle w:val="Other0"/>
              <w:spacing w:after="0"/>
              <w:rPr>
                <w:sz w:val="20"/>
                <w:szCs w:val="20"/>
              </w:rPr>
            </w:pPr>
            <w:r>
              <w:rPr>
                <w:rFonts w:ascii="Calibri" w:hAnsi="Calibri"/>
                <w:sz w:val="20"/>
              </w:rPr>
              <w:t>1.1.5.2.</w:t>
            </w:r>
          </w:p>
        </w:tc>
        <w:tc>
          <w:tcPr>
            <w:tcW w:w="8621" w:type="dxa"/>
            <w:tcBorders>
              <w:top w:val="single" w:sz="4" w:space="0" w:color="auto"/>
              <w:left w:val="single" w:sz="4" w:space="0" w:color="auto"/>
              <w:right w:val="single" w:sz="4" w:space="0" w:color="auto"/>
            </w:tcBorders>
            <w:shd w:val="clear" w:color="auto" w:fill="FFFFFF"/>
            <w:vAlign w:val="bottom"/>
          </w:tcPr>
          <w:p w14:paraId="2E940C95" w14:textId="77777777" w:rsidR="0002516B" w:rsidRDefault="00000000">
            <w:pPr>
              <w:pStyle w:val="Other0"/>
              <w:spacing w:after="0"/>
              <w:rPr>
                <w:sz w:val="20"/>
                <w:szCs w:val="20"/>
              </w:rPr>
            </w:pPr>
            <w:r>
              <w:rPr>
                <w:rFonts w:ascii="Calibri" w:hAnsi="Calibri"/>
                <w:sz w:val="20"/>
              </w:rPr>
              <w:t>The Republic of Belarus;</w:t>
            </w:r>
          </w:p>
        </w:tc>
      </w:tr>
      <w:tr w:rsidR="0002516B" w14:paraId="76779A32" w14:textId="77777777">
        <w:trPr>
          <w:trHeight w:hRule="exact" w:val="360"/>
          <w:jc w:val="center"/>
        </w:trPr>
        <w:tc>
          <w:tcPr>
            <w:tcW w:w="1085" w:type="dxa"/>
            <w:tcBorders>
              <w:top w:val="single" w:sz="4" w:space="0" w:color="auto"/>
              <w:left w:val="single" w:sz="4" w:space="0" w:color="auto"/>
            </w:tcBorders>
            <w:shd w:val="clear" w:color="auto" w:fill="FFFFFF"/>
            <w:vAlign w:val="bottom"/>
          </w:tcPr>
          <w:p w14:paraId="7F45A8DA" w14:textId="77777777" w:rsidR="0002516B" w:rsidRDefault="00000000">
            <w:pPr>
              <w:pStyle w:val="Other0"/>
              <w:spacing w:after="0"/>
              <w:rPr>
                <w:sz w:val="20"/>
                <w:szCs w:val="20"/>
              </w:rPr>
            </w:pPr>
            <w:r>
              <w:rPr>
                <w:rFonts w:ascii="Calibri" w:hAnsi="Calibri"/>
                <w:sz w:val="20"/>
              </w:rPr>
              <w:t>1.1.5.3.</w:t>
            </w:r>
          </w:p>
        </w:tc>
        <w:tc>
          <w:tcPr>
            <w:tcW w:w="8621" w:type="dxa"/>
            <w:tcBorders>
              <w:top w:val="single" w:sz="4" w:space="0" w:color="auto"/>
              <w:left w:val="single" w:sz="4" w:space="0" w:color="auto"/>
              <w:right w:val="single" w:sz="4" w:space="0" w:color="auto"/>
            </w:tcBorders>
            <w:shd w:val="clear" w:color="auto" w:fill="FFFFFF"/>
            <w:vAlign w:val="bottom"/>
          </w:tcPr>
          <w:p w14:paraId="2E6BBE7D" w14:textId="77777777" w:rsidR="0002516B" w:rsidRDefault="00000000">
            <w:pPr>
              <w:pStyle w:val="Other0"/>
              <w:spacing w:after="0"/>
              <w:rPr>
                <w:sz w:val="20"/>
                <w:szCs w:val="20"/>
              </w:rPr>
            </w:pPr>
            <w:r>
              <w:rPr>
                <w:rFonts w:ascii="Calibri" w:hAnsi="Calibri"/>
                <w:sz w:val="20"/>
              </w:rPr>
              <w:t>Crimea annexed by the Russian Federation;</w:t>
            </w:r>
          </w:p>
        </w:tc>
      </w:tr>
      <w:tr w:rsidR="0002516B" w14:paraId="5F60E103" w14:textId="77777777" w:rsidTr="0057332B">
        <w:trPr>
          <w:trHeight w:hRule="exact" w:val="464"/>
          <w:jc w:val="center"/>
        </w:trPr>
        <w:tc>
          <w:tcPr>
            <w:tcW w:w="1085" w:type="dxa"/>
            <w:tcBorders>
              <w:top w:val="single" w:sz="4" w:space="0" w:color="auto"/>
              <w:left w:val="single" w:sz="4" w:space="0" w:color="auto"/>
            </w:tcBorders>
            <w:shd w:val="clear" w:color="auto" w:fill="FFFFFF"/>
            <w:vAlign w:val="bottom"/>
          </w:tcPr>
          <w:p w14:paraId="656379BB" w14:textId="77777777" w:rsidR="0002516B" w:rsidRDefault="00000000">
            <w:pPr>
              <w:pStyle w:val="Other0"/>
              <w:spacing w:after="0"/>
              <w:rPr>
                <w:sz w:val="20"/>
                <w:szCs w:val="20"/>
              </w:rPr>
            </w:pPr>
            <w:r>
              <w:rPr>
                <w:rFonts w:ascii="Calibri" w:hAnsi="Calibri"/>
                <w:sz w:val="20"/>
              </w:rPr>
              <w:t>1.1.5.4.</w:t>
            </w:r>
          </w:p>
        </w:tc>
        <w:tc>
          <w:tcPr>
            <w:tcW w:w="8621" w:type="dxa"/>
            <w:tcBorders>
              <w:top w:val="single" w:sz="4" w:space="0" w:color="auto"/>
              <w:left w:val="single" w:sz="4" w:space="0" w:color="auto"/>
              <w:right w:val="single" w:sz="4" w:space="0" w:color="auto"/>
            </w:tcBorders>
            <w:shd w:val="clear" w:color="auto" w:fill="FFFFFF"/>
            <w:vAlign w:val="bottom"/>
          </w:tcPr>
          <w:p w14:paraId="3441E7A8" w14:textId="77777777" w:rsidR="0002516B" w:rsidRDefault="00000000">
            <w:pPr>
              <w:pStyle w:val="Other0"/>
              <w:spacing w:after="0"/>
              <w:rPr>
                <w:sz w:val="20"/>
                <w:szCs w:val="20"/>
              </w:rPr>
            </w:pPr>
            <w:r>
              <w:rPr>
                <w:rFonts w:ascii="Calibri" w:hAnsi="Calibri"/>
                <w:sz w:val="20"/>
              </w:rPr>
              <w:t>The territory of Transnistria, which is not under the control of the Government of the Republic of Moldova;</w:t>
            </w:r>
          </w:p>
        </w:tc>
      </w:tr>
      <w:tr w:rsidR="0002516B" w14:paraId="58C2AF55" w14:textId="77777777" w:rsidTr="0057332B">
        <w:trPr>
          <w:trHeight w:hRule="exact" w:val="556"/>
          <w:jc w:val="center"/>
        </w:trPr>
        <w:tc>
          <w:tcPr>
            <w:tcW w:w="1085" w:type="dxa"/>
            <w:tcBorders>
              <w:top w:val="single" w:sz="4" w:space="0" w:color="auto"/>
              <w:left w:val="single" w:sz="4" w:space="0" w:color="auto"/>
              <w:bottom w:val="single" w:sz="4" w:space="0" w:color="auto"/>
            </w:tcBorders>
            <w:shd w:val="clear" w:color="auto" w:fill="FFFFFF"/>
            <w:vAlign w:val="bottom"/>
          </w:tcPr>
          <w:p w14:paraId="22A506C9" w14:textId="77777777" w:rsidR="0002516B" w:rsidRDefault="00000000">
            <w:pPr>
              <w:pStyle w:val="Other0"/>
              <w:spacing w:after="0"/>
              <w:rPr>
                <w:sz w:val="20"/>
                <w:szCs w:val="20"/>
              </w:rPr>
            </w:pPr>
            <w:r>
              <w:rPr>
                <w:rFonts w:ascii="Calibri" w:hAnsi="Calibri"/>
                <w:sz w:val="20"/>
              </w:rPr>
              <w:t>1.1.5.5.</w:t>
            </w:r>
          </w:p>
        </w:tc>
        <w:tc>
          <w:tcPr>
            <w:tcW w:w="8621" w:type="dxa"/>
            <w:tcBorders>
              <w:top w:val="single" w:sz="4" w:space="0" w:color="auto"/>
              <w:left w:val="single" w:sz="4" w:space="0" w:color="auto"/>
              <w:bottom w:val="single" w:sz="4" w:space="0" w:color="auto"/>
              <w:right w:val="single" w:sz="4" w:space="0" w:color="auto"/>
            </w:tcBorders>
            <w:shd w:val="clear" w:color="auto" w:fill="FFFFFF"/>
            <w:vAlign w:val="bottom"/>
          </w:tcPr>
          <w:p w14:paraId="30020691" w14:textId="77777777" w:rsidR="0002516B" w:rsidRDefault="00000000">
            <w:pPr>
              <w:pStyle w:val="Other0"/>
              <w:spacing w:after="0"/>
              <w:rPr>
                <w:sz w:val="20"/>
                <w:szCs w:val="20"/>
              </w:rPr>
            </w:pPr>
            <w:r>
              <w:rPr>
                <w:rFonts w:ascii="Calibri" w:hAnsi="Calibri"/>
                <w:sz w:val="20"/>
              </w:rPr>
              <w:t>The territories of Abkhazia and South Ossetia, which are not under the control of the Government of Sakartvelo.</w:t>
            </w:r>
          </w:p>
        </w:tc>
      </w:tr>
    </w:tbl>
    <w:p w14:paraId="3FCD34BC" w14:textId="77777777" w:rsidR="0002516B" w:rsidRDefault="0002516B">
      <w:pPr>
        <w:spacing w:after="299" w:line="1" w:lineRule="exact"/>
      </w:pPr>
    </w:p>
    <w:p w14:paraId="3E6CD681" w14:textId="77777777" w:rsidR="0002516B" w:rsidRDefault="00000000">
      <w:pPr>
        <w:pStyle w:val="Bodytext20"/>
        <w:jc w:val="both"/>
        <w:sectPr w:rsidR="0002516B" w:rsidSect="00AB34E5">
          <w:headerReference w:type="default" r:id="rId12"/>
          <w:footerReference w:type="default" r:id="rId13"/>
          <w:pgSz w:w="11900" w:h="16840"/>
          <w:pgMar w:top="966" w:right="519" w:bottom="1201" w:left="1104" w:header="538" w:footer="773" w:gutter="0"/>
          <w:cols w:space="720"/>
          <w:noEndnote/>
          <w:docGrid w:linePitch="360"/>
        </w:sectPr>
      </w:pPr>
      <w:r>
        <w:t xml:space="preserve"> [1] Controlling person - a legal or natural person who has or acquires the right to control an economic entity. A controlling person may be a citizen of the Republic of Lithuania, a foreigner or a stateless person or an economic entity, as well as a public administration entity. Spouses, parents and their minor children (adopted children) are considered as a single controlling person. Where two or more legal or natural persons, acting on the basis of an agreement, acquire control of the undertaking being concentrated, each of those legal or natural persons is deemed to be the controlling person. In cases where control is not acquired directly but through another person, the ultimate holder of control is deemed to be the controlling person, not the intermediary.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84"/>
        <w:gridCol w:w="4603"/>
      </w:tblGrid>
      <w:tr w:rsidR="0002516B" w14:paraId="4540DA00" w14:textId="77777777">
        <w:trPr>
          <w:trHeight w:hRule="exact" w:val="355"/>
          <w:jc w:val="center"/>
        </w:trPr>
        <w:tc>
          <w:tcPr>
            <w:tcW w:w="9187" w:type="dxa"/>
            <w:gridSpan w:val="2"/>
            <w:tcBorders>
              <w:top w:val="single" w:sz="4" w:space="0" w:color="auto"/>
              <w:left w:val="single" w:sz="4" w:space="0" w:color="auto"/>
              <w:right w:val="single" w:sz="4" w:space="0" w:color="auto"/>
            </w:tcBorders>
            <w:shd w:val="clear" w:color="auto" w:fill="FFFFFF"/>
            <w:vAlign w:val="center"/>
          </w:tcPr>
          <w:p w14:paraId="706DF444" w14:textId="77777777" w:rsidR="0002516B" w:rsidRDefault="00000000">
            <w:pPr>
              <w:pStyle w:val="Other0"/>
              <w:spacing w:after="0"/>
              <w:jc w:val="center"/>
              <w:rPr>
                <w:sz w:val="19"/>
                <w:szCs w:val="19"/>
              </w:rPr>
            </w:pPr>
            <w:r>
              <w:rPr>
                <w:rFonts w:ascii="Times New Roman" w:hAnsi="Times New Roman"/>
                <w:sz w:val="19"/>
              </w:rPr>
              <w:lastRenderedPageBreak/>
              <w:t>DETAILED METADATA</w:t>
            </w:r>
          </w:p>
        </w:tc>
      </w:tr>
      <w:tr w:rsidR="0002516B" w14:paraId="008A5BD0" w14:textId="77777777">
        <w:trPr>
          <w:trHeight w:hRule="exact" w:val="571"/>
          <w:jc w:val="center"/>
        </w:trPr>
        <w:tc>
          <w:tcPr>
            <w:tcW w:w="4584" w:type="dxa"/>
            <w:tcBorders>
              <w:top w:val="single" w:sz="4" w:space="0" w:color="auto"/>
              <w:left w:val="single" w:sz="4" w:space="0" w:color="auto"/>
            </w:tcBorders>
            <w:shd w:val="clear" w:color="auto" w:fill="FFFFFF"/>
            <w:vAlign w:val="center"/>
          </w:tcPr>
          <w:p w14:paraId="63F8113B" w14:textId="77777777" w:rsidR="0002516B" w:rsidRDefault="00000000">
            <w:pPr>
              <w:pStyle w:val="Other0"/>
              <w:spacing w:after="0"/>
              <w:rPr>
                <w:sz w:val="19"/>
                <w:szCs w:val="19"/>
              </w:rPr>
            </w:pPr>
            <w:r>
              <w:rPr>
                <w:rFonts w:ascii="Times New Roman" w:hAnsi="Times New Roman"/>
                <w:sz w:val="19"/>
              </w:rPr>
              <w:t>Document compiler(-s)</w:t>
            </w:r>
          </w:p>
        </w:tc>
        <w:tc>
          <w:tcPr>
            <w:tcW w:w="4603" w:type="dxa"/>
            <w:tcBorders>
              <w:top w:val="single" w:sz="4" w:space="0" w:color="auto"/>
              <w:left w:val="single" w:sz="4" w:space="0" w:color="auto"/>
              <w:right w:val="single" w:sz="4" w:space="0" w:color="auto"/>
            </w:tcBorders>
            <w:shd w:val="clear" w:color="auto" w:fill="FFFFFF"/>
            <w:vAlign w:val="bottom"/>
          </w:tcPr>
          <w:p w14:paraId="3EB9FF77" w14:textId="77777777" w:rsidR="0002516B" w:rsidRDefault="00000000">
            <w:pPr>
              <w:pStyle w:val="Other0"/>
              <w:spacing w:after="0"/>
              <w:rPr>
                <w:sz w:val="19"/>
                <w:szCs w:val="19"/>
              </w:rPr>
            </w:pPr>
            <w:proofErr w:type="spellStart"/>
            <w:r>
              <w:rPr>
                <w:rFonts w:ascii="Times New Roman" w:hAnsi="Times New Roman"/>
                <w:sz w:val="19"/>
              </w:rPr>
              <w:t>Litgrid</w:t>
            </w:r>
            <w:proofErr w:type="spellEnd"/>
            <w:r>
              <w:rPr>
                <w:rFonts w:ascii="Times New Roman" w:hAnsi="Times New Roman"/>
                <w:sz w:val="19"/>
              </w:rPr>
              <w:t xml:space="preserve"> AB, Karlo Gustavo Emilio </w:t>
            </w:r>
            <w:proofErr w:type="spellStart"/>
            <w:r>
              <w:rPr>
                <w:rFonts w:ascii="Times New Roman" w:hAnsi="Times New Roman"/>
                <w:sz w:val="19"/>
              </w:rPr>
              <w:t>Manerheimo</w:t>
            </w:r>
            <w:proofErr w:type="spellEnd"/>
            <w:r>
              <w:rPr>
                <w:rFonts w:ascii="Times New Roman" w:hAnsi="Times New Roman"/>
                <w:sz w:val="19"/>
              </w:rPr>
              <w:t xml:space="preserve"> str. 8, LT-05131 Vilnius, Lithuania (24/05/2022 10:36:52 AM)</w:t>
            </w:r>
          </w:p>
        </w:tc>
      </w:tr>
      <w:tr w:rsidR="0002516B" w14:paraId="1295ABC7" w14:textId="77777777">
        <w:trPr>
          <w:trHeight w:hRule="exact" w:val="571"/>
          <w:jc w:val="center"/>
        </w:trPr>
        <w:tc>
          <w:tcPr>
            <w:tcW w:w="4584" w:type="dxa"/>
            <w:tcBorders>
              <w:top w:val="single" w:sz="4" w:space="0" w:color="auto"/>
              <w:left w:val="single" w:sz="4" w:space="0" w:color="auto"/>
            </w:tcBorders>
            <w:shd w:val="clear" w:color="auto" w:fill="FFFFFF"/>
            <w:vAlign w:val="center"/>
          </w:tcPr>
          <w:p w14:paraId="56F0FD66" w14:textId="77777777" w:rsidR="0002516B" w:rsidRDefault="00000000">
            <w:pPr>
              <w:pStyle w:val="Other0"/>
              <w:spacing w:after="0"/>
              <w:rPr>
                <w:sz w:val="19"/>
                <w:szCs w:val="19"/>
              </w:rPr>
            </w:pPr>
            <w:r>
              <w:rPr>
                <w:rFonts w:ascii="Times New Roman" w:hAnsi="Times New Roman"/>
                <w:sz w:val="19"/>
              </w:rPr>
              <w:t>Document name (title)</w:t>
            </w:r>
          </w:p>
        </w:tc>
        <w:tc>
          <w:tcPr>
            <w:tcW w:w="4603" w:type="dxa"/>
            <w:tcBorders>
              <w:top w:val="single" w:sz="4" w:space="0" w:color="auto"/>
              <w:left w:val="single" w:sz="4" w:space="0" w:color="auto"/>
              <w:right w:val="single" w:sz="4" w:space="0" w:color="auto"/>
            </w:tcBorders>
            <w:shd w:val="clear" w:color="auto" w:fill="FFFFFF"/>
            <w:vAlign w:val="bottom"/>
          </w:tcPr>
          <w:p w14:paraId="76360CCB" w14:textId="1D810E15" w:rsidR="0002516B" w:rsidRDefault="00000000">
            <w:pPr>
              <w:pStyle w:val="Other0"/>
              <w:spacing w:after="0"/>
              <w:rPr>
                <w:sz w:val="19"/>
                <w:szCs w:val="19"/>
              </w:rPr>
            </w:pPr>
            <w:r>
              <w:rPr>
                <w:rFonts w:ascii="Times New Roman" w:hAnsi="Times New Roman"/>
                <w:sz w:val="19"/>
              </w:rPr>
              <w:t>Amendment No. 1 of the Design task “Construction of a new 330 kV ETL Vilnius- Neris”</w:t>
            </w:r>
          </w:p>
        </w:tc>
      </w:tr>
      <w:tr w:rsidR="0002516B" w14:paraId="7EC998FE" w14:textId="77777777">
        <w:trPr>
          <w:trHeight w:hRule="exact" w:val="341"/>
          <w:jc w:val="center"/>
        </w:trPr>
        <w:tc>
          <w:tcPr>
            <w:tcW w:w="4584" w:type="dxa"/>
            <w:tcBorders>
              <w:top w:val="single" w:sz="4" w:space="0" w:color="auto"/>
              <w:left w:val="single" w:sz="4" w:space="0" w:color="auto"/>
            </w:tcBorders>
            <w:shd w:val="clear" w:color="auto" w:fill="FFFFFF"/>
            <w:vAlign w:val="center"/>
          </w:tcPr>
          <w:p w14:paraId="12EBB7A7" w14:textId="77777777" w:rsidR="0002516B" w:rsidRDefault="00000000">
            <w:pPr>
              <w:pStyle w:val="Other0"/>
              <w:spacing w:after="0"/>
              <w:rPr>
                <w:sz w:val="19"/>
                <w:szCs w:val="19"/>
              </w:rPr>
            </w:pPr>
            <w:r>
              <w:rPr>
                <w:rFonts w:ascii="Times New Roman" w:hAnsi="Times New Roman"/>
                <w:sz w:val="19"/>
              </w:rPr>
              <w:t>Document registration date and number</w:t>
            </w:r>
          </w:p>
        </w:tc>
        <w:tc>
          <w:tcPr>
            <w:tcW w:w="4603" w:type="dxa"/>
            <w:tcBorders>
              <w:top w:val="single" w:sz="4" w:space="0" w:color="auto"/>
              <w:left w:val="single" w:sz="4" w:space="0" w:color="auto"/>
              <w:right w:val="single" w:sz="4" w:space="0" w:color="auto"/>
            </w:tcBorders>
            <w:shd w:val="clear" w:color="auto" w:fill="FFFFFF"/>
            <w:vAlign w:val="center"/>
          </w:tcPr>
          <w:p w14:paraId="77F14AA5" w14:textId="77777777" w:rsidR="0002516B" w:rsidRDefault="00000000">
            <w:pPr>
              <w:pStyle w:val="Other0"/>
              <w:spacing w:after="0"/>
              <w:rPr>
                <w:sz w:val="19"/>
                <w:szCs w:val="19"/>
              </w:rPr>
            </w:pPr>
            <w:r>
              <w:rPr>
                <w:rFonts w:ascii="Times New Roman" w:hAnsi="Times New Roman"/>
                <w:sz w:val="19"/>
              </w:rPr>
              <w:t>19/05/2022 No. 22PRU-18</w:t>
            </w:r>
          </w:p>
        </w:tc>
      </w:tr>
      <w:tr w:rsidR="0002516B" w14:paraId="245D5192" w14:textId="77777777">
        <w:trPr>
          <w:trHeight w:hRule="exact" w:val="571"/>
          <w:jc w:val="center"/>
        </w:trPr>
        <w:tc>
          <w:tcPr>
            <w:tcW w:w="4584" w:type="dxa"/>
            <w:tcBorders>
              <w:top w:val="single" w:sz="4" w:space="0" w:color="auto"/>
              <w:left w:val="single" w:sz="4" w:space="0" w:color="auto"/>
            </w:tcBorders>
            <w:shd w:val="clear" w:color="auto" w:fill="FFFFFF"/>
            <w:vAlign w:val="center"/>
          </w:tcPr>
          <w:p w14:paraId="16FF4E9F" w14:textId="77777777" w:rsidR="0002516B" w:rsidRDefault="00000000">
            <w:pPr>
              <w:pStyle w:val="Other0"/>
              <w:spacing w:after="0" w:line="257" w:lineRule="auto"/>
              <w:rPr>
                <w:sz w:val="19"/>
                <w:szCs w:val="19"/>
              </w:rPr>
            </w:pPr>
            <w:r>
              <w:rPr>
                <w:rFonts w:ascii="Times New Roman" w:hAnsi="Times New Roman"/>
                <w:sz w:val="19"/>
              </w:rPr>
              <w:t>The date of receipt of the document and registration number of receipt</w:t>
            </w:r>
          </w:p>
        </w:tc>
        <w:tc>
          <w:tcPr>
            <w:tcW w:w="4603" w:type="dxa"/>
            <w:tcBorders>
              <w:top w:val="single" w:sz="4" w:space="0" w:color="auto"/>
              <w:left w:val="single" w:sz="4" w:space="0" w:color="auto"/>
              <w:right w:val="single" w:sz="4" w:space="0" w:color="auto"/>
            </w:tcBorders>
            <w:shd w:val="clear" w:color="auto" w:fill="FFFFFF"/>
            <w:vAlign w:val="center"/>
          </w:tcPr>
          <w:p w14:paraId="5B77F776" w14:textId="77777777" w:rsidR="0002516B" w:rsidRDefault="00000000">
            <w:pPr>
              <w:pStyle w:val="Other0"/>
              <w:spacing w:after="0"/>
              <w:rPr>
                <w:sz w:val="19"/>
                <w:szCs w:val="19"/>
              </w:rPr>
            </w:pPr>
            <w:r>
              <w:rPr>
                <w:rFonts w:ascii="Times New Roman" w:hAnsi="Times New Roman"/>
                <w:sz w:val="19"/>
              </w:rPr>
              <w:t>-</w:t>
            </w:r>
          </w:p>
        </w:tc>
      </w:tr>
      <w:tr w:rsidR="0002516B" w14:paraId="1539EBA6" w14:textId="77777777">
        <w:trPr>
          <w:trHeight w:hRule="exact" w:val="341"/>
          <w:jc w:val="center"/>
        </w:trPr>
        <w:tc>
          <w:tcPr>
            <w:tcW w:w="4584" w:type="dxa"/>
            <w:tcBorders>
              <w:top w:val="single" w:sz="4" w:space="0" w:color="auto"/>
              <w:left w:val="single" w:sz="4" w:space="0" w:color="auto"/>
            </w:tcBorders>
            <w:shd w:val="clear" w:color="auto" w:fill="FFFFFF"/>
            <w:vAlign w:val="center"/>
          </w:tcPr>
          <w:p w14:paraId="2B0F1081" w14:textId="77777777" w:rsidR="0002516B" w:rsidRDefault="00000000">
            <w:pPr>
              <w:pStyle w:val="Other0"/>
              <w:spacing w:after="0"/>
              <w:rPr>
                <w:sz w:val="19"/>
                <w:szCs w:val="19"/>
              </w:rPr>
            </w:pPr>
            <w:r>
              <w:rPr>
                <w:rFonts w:ascii="Times New Roman" w:hAnsi="Times New Roman"/>
                <w:sz w:val="19"/>
              </w:rPr>
              <w:t>Document specification identification mark</w:t>
            </w:r>
          </w:p>
        </w:tc>
        <w:tc>
          <w:tcPr>
            <w:tcW w:w="4603" w:type="dxa"/>
            <w:tcBorders>
              <w:top w:val="single" w:sz="4" w:space="0" w:color="auto"/>
              <w:left w:val="single" w:sz="4" w:space="0" w:color="auto"/>
              <w:right w:val="single" w:sz="4" w:space="0" w:color="auto"/>
            </w:tcBorders>
            <w:shd w:val="clear" w:color="auto" w:fill="FFFFFF"/>
            <w:vAlign w:val="center"/>
          </w:tcPr>
          <w:p w14:paraId="7BF8DCC2" w14:textId="77777777" w:rsidR="0002516B" w:rsidRDefault="00000000">
            <w:pPr>
              <w:pStyle w:val="Other0"/>
              <w:spacing w:after="0"/>
              <w:rPr>
                <w:sz w:val="19"/>
                <w:szCs w:val="19"/>
              </w:rPr>
            </w:pPr>
            <w:r>
              <w:rPr>
                <w:rFonts w:ascii="Times New Roman" w:hAnsi="Times New Roman"/>
                <w:sz w:val="19"/>
              </w:rPr>
              <w:t>ADOC-V1.0</w:t>
            </w:r>
          </w:p>
        </w:tc>
      </w:tr>
      <w:tr w:rsidR="0002516B" w14:paraId="493FFB63" w14:textId="77777777">
        <w:trPr>
          <w:trHeight w:hRule="exact" w:val="341"/>
          <w:jc w:val="center"/>
        </w:trPr>
        <w:tc>
          <w:tcPr>
            <w:tcW w:w="4584" w:type="dxa"/>
            <w:tcBorders>
              <w:top w:val="single" w:sz="4" w:space="0" w:color="auto"/>
              <w:left w:val="single" w:sz="4" w:space="0" w:color="auto"/>
            </w:tcBorders>
            <w:shd w:val="clear" w:color="auto" w:fill="FFFFFF"/>
            <w:vAlign w:val="bottom"/>
          </w:tcPr>
          <w:p w14:paraId="6A120BCE" w14:textId="77777777" w:rsidR="0002516B" w:rsidRDefault="00000000">
            <w:pPr>
              <w:pStyle w:val="Other0"/>
              <w:spacing w:after="0"/>
              <w:rPr>
                <w:sz w:val="19"/>
                <w:szCs w:val="19"/>
              </w:rPr>
            </w:pPr>
            <w:r>
              <w:rPr>
                <w:rFonts w:ascii="Times New Roman" w:hAnsi="Times New Roman"/>
                <w:sz w:val="19"/>
              </w:rPr>
              <w:t>Purpose of signature</w:t>
            </w:r>
          </w:p>
        </w:tc>
        <w:tc>
          <w:tcPr>
            <w:tcW w:w="4603" w:type="dxa"/>
            <w:tcBorders>
              <w:top w:val="single" w:sz="4" w:space="0" w:color="auto"/>
              <w:left w:val="single" w:sz="4" w:space="0" w:color="auto"/>
              <w:right w:val="single" w:sz="4" w:space="0" w:color="auto"/>
            </w:tcBorders>
            <w:shd w:val="clear" w:color="auto" w:fill="FFFFFF"/>
            <w:vAlign w:val="bottom"/>
          </w:tcPr>
          <w:p w14:paraId="515BC922" w14:textId="77777777" w:rsidR="0002516B" w:rsidRDefault="00000000">
            <w:pPr>
              <w:pStyle w:val="Other0"/>
              <w:spacing w:after="0"/>
              <w:rPr>
                <w:sz w:val="19"/>
                <w:szCs w:val="19"/>
              </w:rPr>
            </w:pPr>
            <w:r>
              <w:rPr>
                <w:rFonts w:ascii="Times New Roman" w:hAnsi="Times New Roman"/>
                <w:sz w:val="19"/>
              </w:rPr>
              <w:t>To sign</w:t>
            </w:r>
          </w:p>
        </w:tc>
      </w:tr>
      <w:tr w:rsidR="0002516B" w14:paraId="7F9FE2E9" w14:textId="77777777">
        <w:trPr>
          <w:trHeight w:hRule="exact" w:val="341"/>
          <w:jc w:val="center"/>
        </w:trPr>
        <w:tc>
          <w:tcPr>
            <w:tcW w:w="4584" w:type="dxa"/>
            <w:tcBorders>
              <w:top w:val="single" w:sz="4" w:space="0" w:color="auto"/>
              <w:left w:val="single" w:sz="4" w:space="0" w:color="auto"/>
            </w:tcBorders>
            <w:shd w:val="clear" w:color="auto" w:fill="FFFFFF"/>
            <w:vAlign w:val="bottom"/>
          </w:tcPr>
          <w:p w14:paraId="369BDD3B" w14:textId="77777777" w:rsidR="0002516B" w:rsidRDefault="00000000">
            <w:pPr>
              <w:pStyle w:val="Other0"/>
              <w:spacing w:after="0"/>
              <w:rPr>
                <w:sz w:val="19"/>
                <w:szCs w:val="19"/>
              </w:rPr>
            </w:pPr>
            <w:r>
              <w:rPr>
                <w:rFonts w:ascii="Times New Roman" w:hAnsi="Times New Roman"/>
                <w:sz w:val="19"/>
              </w:rPr>
              <w:t>Name and position of the person who created the signature</w:t>
            </w:r>
          </w:p>
        </w:tc>
        <w:tc>
          <w:tcPr>
            <w:tcW w:w="4603" w:type="dxa"/>
            <w:tcBorders>
              <w:top w:val="single" w:sz="4" w:space="0" w:color="auto"/>
              <w:left w:val="single" w:sz="4" w:space="0" w:color="auto"/>
              <w:right w:val="single" w:sz="4" w:space="0" w:color="auto"/>
            </w:tcBorders>
            <w:shd w:val="clear" w:color="auto" w:fill="FFFFFF"/>
            <w:vAlign w:val="bottom"/>
          </w:tcPr>
          <w:p w14:paraId="1482F93A" w14:textId="0904F03D" w:rsidR="0002516B" w:rsidRDefault="00000000">
            <w:pPr>
              <w:pStyle w:val="Other0"/>
              <w:tabs>
                <w:tab w:val="left" w:pos="727"/>
              </w:tabs>
              <w:spacing w:after="0"/>
              <w:rPr>
                <w:sz w:val="19"/>
                <w:szCs w:val="19"/>
              </w:rPr>
            </w:pPr>
            <w:r>
              <w:rPr>
                <w:rFonts w:ascii="Times New Roman" w:hAnsi="Times New Roman"/>
                <w:sz w:val="19"/>
              </w:rPr>
              <w:t>Director of the Department 24/05/2022</w:t>
            </w:r>
          </w:p>
        </w:tc>
      </w:tr>
      <w:tr w:rsidR="0002516B" w14:paraId="30EBE48D" w14:textId="77777777">
        <w:trPr>
          <w:trHeight w:hRule="exact" w:val="341"/>
          <w:jc w:val="center"/>
        </w:trPr>
        <w:tc>
          <w:tcPr>
            <w:tcW w:w="4584" w:type="dxa"/>
            <w:tcBorders>
              <w:top w:val="single" w:sz="4" w:space="0" w:color="auto"/>
              <w:left w:val="single" w:sz="4" w:space="0" w:color="auto"/>
            </w:tcBorders>
            <w:shd w:val="clear" w:color="auto" w:fill="FFFFFF"/>
            <w:vAlign w:val="bottom"/>
          </w:tcPr>
          <w:p w14:paraId="33D0F15E" w14:textId="77777777" w:rsidR="0002516B" w:rsidRDefault="00000000">
            <w:pPr>
              <w:pStyle w:val="Other0"/>
              <w:spacing w:after="0"/>
              <w:rPr>
                <w:sz w:val="19"/>
                <w:szCs w:val="19"/>
              </w:rPr>
            </w:pPr>
            <w:r>
              <w:rPr>
                <w:rFonts w:ascii="Times New Roman" w:hAnsi="Times New Roman"/>
                <w:sz w:val="19"/>
              </w:rPr>
              <w:t>Date and time of signature creation</w:t>
            </w:r>
          </w:p>
        </w:tc>
        <w:tc>
          <w:tcPr>
            <w:tcW w:w="4603" w:type="dxa"/>
            <w:tcBorders>
              <w:top w:val="single" w:sz="4" w:space="0" w:color="auto"/>
              <w:left w:val="single" w:sz="4" w:space="0" w:color="auto"/>
              <w:right w:val="single" w:sz="4" w:space="0" w:color="auto"/>
            </w:tcBorders>
            <w:shd w:val="clear" w:color="auto" w:fill="FFFFFF"/>
            <w:vAlign w:val="bottom"/>
          </w:tcPr>
          <w:p w14:paraId="71C86C33" w14:textId="77777777" w:rsidR="0002516B" w:rsidRDefault="00000000">
            <w:pPr>
              <w:pStyle w:val="Other0"/>
              <w:spacing w:after="0"/>
              <w:rPr>
                <w:sz w:val="19"/>
                <w:szCs w:val="19"/>
              </w:rPr>
            </w:pPr>
            <w:r>
              <w:rPr>
                <w:rFonts w:ascii="Times New Roman" w:hAnsi="Times New Roman"/>
                <w:sz w:val="19"/>
              </w:rPr>
              <w:t>10:33:15 AM (GMT+03:00)</w:t>
            </w:r>
          </w:p>
        </w:tc>
      </w:tr>
      <w:tr w:rsidR="0002516B" w14:paraId="153C8561" w14:textId="77777777">
        <w:trPr>
          <w:trHeight w:hRule="exact" w:val="341"/>
          <w:jc w:val="center"/>
        </w:trPr>
        <w:tc>
          <w:tcPr>
            <w:tcW w:w="4584" w:type="dxa"/>
            <w:tcBorders>
              <w:top w:val="single" w:sz="4" w:space="0" w:color="auto"/>
              <w:left w:val="single" w:sz="4" w:space="0" w:color="auto"/>
            </w:tcBorders>
            <w:shd w:val="clear" w:color="auto" w:fill="FFFFFF"/>
            <w:vAlign w:val="center"/>
          </w:tcPr>
          <w:p w14:paraId="64ABD128" w14:textId="77777777" w:rsidR="0002516B" w:rsidRDefault="00000000">
            <w:pPr>
              <w:pStyle w:val="Other0"/>
              <w:spacing w:after="0"/>
              <w:rPr>
                <w:sz w:val="19"/>
                <w:szCs w:val="19"/>
              </w:rPr>
            </w:pPr>
            <w:r>
              <w:rPr>
                <w:rFonts w:ascii="Times New Roman" w:hAnsi="Times New Roman"/>
                <w:sz w:val="19"/>
              </w:rPr>
              <w:t>Form of the signature</w:t>
            </w:r>
          </w:p>
        </w:tc>
        <w:tc>
          <w:tcPr>
            <w:tcW w:w="4603" w:type="dxa"/>
            <w:tcBorders>
              <w:top w:val="single" w:sz="4" w:space="0" w:color="auto"/>
              <w:left w:val="single" w:sz="4" w:space="0" w:color="auto"/>
              <w:right w:val="single" w:sz="4" w:space="0" w:color="auto"/>
            </w:tcBorders>
            <w:shd w:val="clear" w:color="auto" w:fill="FFFFFF"/>
            <w:vAlign w:val="center"/>
          </w:tcPr>
          <w:p w14:paraId="2E83E6DD" w14:textId="77777777" w:rsidR="0002516B" w:rsidRDefault="00000000">
            <w:pPr>
              <w:pStyle w:val="Other0"/>
              <w:spacing w:after="0"/>
              <w:rPr>
                <w:sz w:val="19"/>
                <w:szCs w:val="19"/>
              </w:rPr>
            </w:pPr>
            <w:r>
              <w:rPr>
                <w:rFonts w:ascii="Times New Roman" w:hAnsi="Times New Roman"/>
                <w:sz w:val="19"/>
              </w:rPr>
              <w:t>XAdES-T</w:t>
            </w:r>
          </w:p>
        </w:tc>
      </w:tr>
      <w:tr w:rsidR="0002516B" w14:paraId="7489B832" w14:textId="77777777">
        <w:trPr>
          <w:trHeight w:hRule="exact" w:val="341"/>
          <w:jc w:val="center"/>
        </w:trPr>
        <w:tc>
          <w:tcPr>
            <w:tcW w:w="4584" w:type="dxa"/>
            <w:tcBorders>
              <w:top w:val="single" w:sz="4" w:space="0" w:color="auto"/>
              <w:left w:val="single" w:sz="4" w:space="0" w:color="auto"/>
            </w:tcBorders>
            <w:shd w:val="clear" w:color="auto" w:fill="FFFFFF"/>
            <w:vAlign w:val="bottom"/>
          </w:tcPr>
          <w:p w14:paraId="4DD58C97" w14:textId="77777777" w:rsidR="0002516B" w:rsidRDefault="00000000">
            <w:pPr>
              <w:pStyle w:val="Other0"/>
              <w:spacing w:after="0"/>
              <w:rPr>
                <w:sz w:val="19"/>
                <w:szCs w:val="19"/>
              </w:rPr>
            </w:pPr>
            <w:r>
              <w:rPr>
                <w:rFonts w:ascii="Times New Roman" w:hAnsi="Times New Roman"/>
                <w:sz w:val="19"/>
              </w:rPr>
              <w:t>The time specified in the time stamp</w:t>
            </w:r>
          </w:p>
        </w:tc>
        <w:tc>
          <w:tcPr>
            <w:tcW w:w="4603" w:type="dxa"/>
            <w:tcBorders>
              <w:top w:val="single" w:sz="4" w:space="0" w:color="auto"/>
              <w:left w:val="single" w:sz="4" w:space="0" w:color="auto"/>
              <w:right w:val="single" w:sz="4" w:space="0" w:color="auto"/>
            </w:tcBorders>
            <w:shd w:val="clear" w:color="auto" w:fill="FFFFFF"/>
            <w:vAlign w:val="bottom"/>
          </w:tcPr>
          <w:p w14:paraId="147F5918" w14:textId="77777777" w:rsidR="0002516B" w:rsidRDefault="00000000">
            <w:pPr>
              <w:pStyle w:val="Other0"/>
              <w:spacing w:after="0"/>
              <w:rPr>
                <w:sz w:val="19"/>
                <w:szCs w:val="19"/>
              </w:rPr>
            </w:pPr>
            <w:r>
              <w:rPr>
                <w:rFonts w:ascii="Times New Roman" w:hAnsi="Times New Roman"/>
                <w:sz w:val="19"/>
              </w:rPr>
              <w:t>24/05/2022 10:33:47 AM (GMT+03:00)</w:t>
            </w:r>
          </w:p>
        </w:tc>
      </w:tr>
      <w:tr w:rsidR="0002516B" w14:paraId="6B1174C5" w14:textId="77777777">
        <w:trPr>
          <w:trHeight w:hRule="exact" w:val="802"/>
          <w:jc w:val="center"/>
        </w:trPr>
        <w:tc>
          <w:tcPr>
            <w:tcW w:w="4584" w:type="dxa"/>
            <w:tcBorders>
              <w:top w:val="single" w:sz="4" w:space="0" w:color="auto"/>
              <w:left w:val="single" w:sz="4" w:space="0" w:color="auto"/>
            </w:tcBorders>
            <w:shd w:val="clear" w:color="auto" w:fill="FFFFFF"/>
            <w:vAlign w:val="center"/>
          </w:tcPr>
          <w:p w14:paraId="626C4522" w14:textId="77777777" w:rsidR="0002516B" w:rsidRDefault="00000000">
            <w:pPr>
              <w:pStyle w:val="Other0"/>
              <w:spacing w:after="0"/>
              <w:rPr>
                <w:sz w:val="19"/>
                <w:szCs w:val="19"/>
              </w:rPr>
            </w:pPr>
            <w:r>
              <w:rPr>
                <w:rFonts w:ascii="Times New Roman" w:hAnsi="Times New Roman"/>
                <w:sz w:val="19"/>
              </w:rPr>
              <w:t>Information about the certification service provider</w:t>
            </w:r>
          </w:p>
        </w:tc>
        <w:tc>
          <w:tcPr>
            <w:tcW w:w="4603" w:type="dxa"/>
            <w:tcBorders>
              <w:top w:val="single" w:sz="4" w:space="0" w:color="auto"/>
              <w:left w:val="single" w:sz="4" w:space="0" w:color="auto"/>
              <w:right w:val="single" w:sz="4" w:space="0" w:color="auto"/>
            </w:tcBorders>
            <w:shd w:val="clear" w:color="auto" w:fill="FFFFFF"/>
            <w:vAlign w:val="bottom"/>
          </w:tcPr>
          <w:p w14:paraId="6EA503A3" w14:textId="77777777" w:rsidR="0002516B" w:rsidRDefault="00000000">
            <w:pPr>
              <w:pStyle w:val="Other0"/>
              <w:spacing w:after="0"/>
              <w:rPr>
                <w:sz w:val="19"/>
                <w:szCs w:val="19"/>
              </w:rPr>
            </w:pPr>
            <w:r>
              <w:rPr>
                <w:rFonts w:ascii="Times New Roman" w:hAnsi="Times New Roman"/>
                <w:sz w:val="19"/>
              </w:rPr>
              <w:t>EID-SK</w:t>
            </w:r>
          </w:p>
          <w:p w14:paraId="4B897FB2" w14:textId="77777777" w:rsidR="0002516B" w:rsidRDefault="00000000">
            <w:pPr>
              <w:pStyle w:val="Other0"/>
              <w:spacing w:after="0"/>
              <w:rPr>
                <w:sz w:val="19"/>
                <w:szCs w:val="19"/>
              </w:rPr>
            </w:pPr>
            <w:r>
              <w:rPr>
                <w:rFonts w:ascii="Times New Roman" w:hAnsi="Times New Roman"/>
                <w:sz w:val="19"/>
              </w:rPr>
              <w:t>2016,2.5.4.97</w:t>
            </w:r>
            <w:r>
              <w:rPr>
                <w:rFonts w:ascii="Times New Roman" w:hAnsi="Times New Roman"/>
                <w:sz w:val="13"/>
              </w:rPr>
              <w:t>=</w:t>
            </w:r>
            <w:r>
              <w:rPr>
                <w:rFonts w:ascii="Times New Roman" w:hAnsi="Times New Roman"/>
                <w:sz w:val="19"/>
              </w:rPr>
              <w:t>#160e4e545245452d313037343730313</w:t>
            </w:r>
          </w:p>
          <w:p w14:paraId="74F4B6B0" w14:textId="77777777" w:rsidR="0002516B" w:rsidRDefault="00000000">
            <w:pPr>
              <w:pStyle w:val="Other0"/>
              <w:spacing w:after="0"/>
              <w:rPr>
                <w:sz w:val="19"/>
                <w:szCs w:val="19"/>
              </w:rPr>
            </w:pPr>
            <w:r>
              <w:rPr>
                <w:rFonts w:ascii="Times New Roman" w:hAnsi="Times New Roman"/>
                <w:sz w:val="19"/>
              </w:rPr>
              <w:t xml:space="preserve">3,AS </w:t>
            </w:r>
            <w:proofErr w:type="spellStart"/>
            <w:r>
              <w:rPr>
                <w:rFonts w:ascii="Times New Roman" w:hAnsi="Times New Roman"/>
                <w:sz w:val="19"/>
              </w:rPr>
              <w:t>Sertifitseerimiskeskus,EE</w:t>
            </w:r>
            <w:proofErr w:type="spellEnd"/>
          </w:p>
        </w:tc>
      </w:tr>
      <w:tr w:rsidR="0002516B" w14:paraId="00095C9D" w14:textId="77777777">
        <w:trPr>
          <w:trHeight w:hRule="exact" w:val="341"/>
          <w:jc w:val="center"/>
        </w:trPr>
        <w:tc>
          <w:tcPr>
            <w:tcW w:w="4584" w:type="dxa"/>
            <w:tcBorders>
              <w:top w:val="single" w:sz="4" w:space="0" w:color="auto"/>
              <w:left w:val="single" w:sz="4" w:space="0" w:color="auto"/>
            </w:tcBorders>
            <w:shd w:val="clear" w:color="auto" w:fill="FFFFFF"/>
            <w:vAlign w:val="bottom"/>
          </w:tcPr>
          <w:p w14:paraId="17B9AD11" w14:textId="77777777" w:rsidR="0002516B" w:rsidRDefault="00000000">
            <w:pPr>
              <w:pStyle w:val="Other0"/>
              <w:spacing w:after="0"/>
              <w:rPr>
                <w:sz w:val="19"/>
                <w:szCs w:val="19"/>
              </w:rPr>
            </w:pPr>
            <w:r>
              <w:rPr>
                <w:rFonts w:ascii="Times New Roman" w:hAnsi="Times New Roman"/>
                <w:sz w:val="19"/>
              </w:rPr>
              <w:t>Validity of the certificate</w:t>
            </w:r>
          </w:p>
        </w:tc>
        <w:tc>
          <w:tcPr>
            <w:tcW w:w="4603" w:type="dxa"/>
            <w:tcBorders>
              <w:top w:val="single" w:sz="4" w:space="0" w:color="auto"/>
              <w:left w:val="single" w:sz="4" w:space="0" w:color="auto"/>
              <w:right w:val="single" w:sz="4" w:space="0" w:color="auto"/>
            </w:tcBorders>
            <w:shd w:val="clear" w:color="auto" w:fill="FFFFFF"/>
            <w:vAlign w:val="bottom"/>
          </w:tcPr>
          <w:p w14:paraId="4931369F" w14:textId="77777777" w:rsidR="0002516B" w:rsidRDefault="00000000">
            <w:pPr>
              <w:pStyle w:val="Other0"/>
              <w:spacing w:after="0"/>
              <w:rPr>
                <w:sz w:val="19"/>
                <w:szCs w:val="19"/>
              </w:rPr>
            </w:pPr>
            <w:r>
              <w:rPr>
                <w:rFonts w:ascii="Times New Roman" w:hAnsi="Times New Roman"/>
                <w:sz w:val="19"/>
              </w:rPr>
              <w:t>31/07/2021 11:40:15 AM - 30/07/2026 11:59:59 PM</w:t>
            </w:r>
          </w:p>
        </w:tc>
      </w:tr>
      <w:tr w:rsidR="0002516B" w14:paraId="0E05314C" w14:textId="77777777">
        <w:trPr>
          <w:trHeight w:hRule="exact" w:val="571"/>
          <w:jc w:val="center"/>
        </w:trPr>
        <w:tc>
          <w:tcPr>
            <w:tcW w:w="4584" w:type="dxa"/>
            <w:tcBorders>
              <w:top w:val="single" w:sz="4" w:space="0" w:color="auto"/>
              <w:left w:val="single" w:sz="4" w:space="0" w:color="auto"/>
            </w:tcBorders>
            <w:shd w:val="clear" w:color="auto" w:fill="FFFFFF"/>
          </w:tcPr>
          <w:p w14:paraId="0232A744" w14:textId="77777777" w:rsidR="0002516B" w:rsidRDefault="00000000">
            <w:pPr>
              <w:pStyle w:val="Other0"/>
              <w:spacing w:after="0" w:line="257" w:lineRule="auto"/>
              <w:rPr>
                <w:sz w:val="19"/>
                <w:szCs w:val="19"/>
              </w:rPr>
            </w:pPr>
            <w:r>
              <w:rPr>
                <w:rFonts w:ascii="Times New Roman" w:hAnsi="Times New Roman"/>
                <w:sz w:val="19"/>
              </w:rPr>
              <w:t>Information of the ways used to ensure metadata integrity</w:t>
            </w:r>
          </w:p>
        </w:tc>
        <w:tc>
          <w:tcPr>
            <w:tcW w:w="4603" w:type="dxa"/>
            <w:tcBorders>
              <w:top w:val="single" w:sz="4" w:space="0" w:color="auto"/>
              <w:left w:val="single" w:sz="4" w:space="0" w:color="auto"/>
              <w:right w:val="single" w:sz="4" w:space="0" w:color="auto"/>
            </w:tcBorders>
            <w:shd w:val="clear" w:color="auto" w:fill="FFFFFF"/>
            <w:vAlign w:val="center"/>
          </w:tcPr>
          <w:p w14:paraId="6C477FF8" w14:textId="77777777" w:rsidR="0002516B" w:rsidRDefault="00000000">
            <w:pPr>
              <w:pStyle w:val="Other0"/>
              <w:spacing w:after="0"/>
            </w:pPr>
            <w:r>
              <w:rPr>
                <w:rFonts w:ascii="Times New Roman" w:hAnsi="Times New Roman"/>
              </w:rPr>
              <w:t>—</w:t>
            </w:r>
          </w:p>
        </w:tc>
      </w:tr>
      <w:tr w:rsidR="0002516B" w14:paraId="16A03F9D" w14:textId="77777777">
        <w:trPr>
          <w:trHeight w:hRule="exact" w:val="341"/>
          <w:jc w:val="center"/>
        </w:trPr>
        <w:tc>
          <w:tcPr>
            <w:tcW w:w="4584" w:type="dxa"/>
            <w:tcBorders>
              <w:top w:val="single" w:sz="4" w:space="0" w:color="auto"/>
              <w:left w:val="single" w:sz="4" w:space="0" w:color="auto"/>
            </w:tcBorders>
            <w:shd w:val="clear" w:color="auto" w:fill="FFFFFF"/>
            <w:vAlign w:val="center"/>
          </w:tcPr>
          <w:p w14:paraId="7840D6BF" w14:textId="77777777" w:rsidR="0002516B" w:rsidRDefault="00000000">
            <w:pPr>
              <w:pStyle w:val="Other0"/>
              <w:spacing w:after="0"/>
              <w:rPr>
                <w:sz w:val="19"/>
                <w:szCs w:val="19"/>
              </w:rPr>
            </w:pPr>
            <w:r>
              <w:rPr>
                <w:rFonts w:ascii="Times New Roman" w:hAnsi="Times New Roman"/>
                <w:sz w:val="19"/>
              </w:rPr>
              <w:t>Number of annexes to the main document</w:t>
            </w:r>
          </w:p>
        </w:tc>
        <w:tc>
          <w:tcPr>
            <w:tcW w:w="4603" w:type="dxa"/>
            <w:tcBorders>
              <w:top w:val="single" w:sz="4" w:space="0" w:color="auto"/>
              <w:left w:val="single" w:sz="4" w:space="0" w:color="auto"/>
              <w:right w:val="single" w:sz="4" w:space="0" w:color="auto"/>
            </w:tcBorders>
            <w:shd w:val="clear" w:color="auto" w:fill="FFFFFF"/>
            <w:vAlign w:val="center"/>
          </w:tcPr>
          <w:p w14:paraId="6A7B48AF" w14:textId="77777777" w:rsidR="0002516B" w:rsidRDefault="00000000">
            <w:pPr>
              <w:pStyle w:val="Other0"/>
              <w:spacing w:after="0"/>
              <w:rPr>
                <w:sz w:val="19"/>
                <w:szCs w:val="19"/>
              </w:rPr>
            </w:pPr>
            <w:r>
              <w:rPr>
                <w:rFonts w:ascii="Times New Roman" w:hAnsi="Times New Roman"/>
                <w:sz w:val="19"/>
              </w:rPr>
              <w:t>1</w:t>
            </w:r>
          </w:p>
        </w:tc>
      </w:tr>
      <w:tr w:rsidR="0002516B" w14:paraId="1EC8C007" w14:textId="77777777">
        <w:trPr>
          <w:trHeight w:hRule="exact" w:val="341"/>
          <w:jc w:val="center"/>
        </w:trPr>
        <w:tc>
          <w:tcPr>
            <w:tcW w:w="4584" w:type="dxa"/>
            <w:tcBorders>
              <w:top w:val="single" w:sz="4" w:space="0" w:color="auto"/>
              <w:left w:val="single" w:sz="4" w:space="0" w:color="auto"/>
            </w:tcBorders>
            <w:shd w:val="clear" w:color="auto" w:fill="FFFFFF"/>
            <w:vAlign w:val="center"/>
          </w:tcPr>
          <w:p w14:paraId="1CB51BF1" w14:textId="77777777" w:rsidR="0002516B" w:rsidRDefault="00000000">
            <w:pPr>
              <w:pStyle w:val="Other0"/>
              <w:spacing w:after="0"/>
              <w:rPr>
                <w:sz w:val="19"/>
                <w:szCs w:val="19"/>
              </w:rPr>
            </w:pPr>
            <w:r>
              <w:rPr>
                <w:rFonts w:ascii="Times New Roman" w:hAnsi="Times New Roman"/>
                <w:sz w:val="19"/>
              </w:rPr>
              <w:t>Number of the documents enclosed to the main document</w:t>
            </w:r>
          </w:p>
        </w:tc>
        <w:tc>
          <w:tcPr>
            <w:tcW w:w="4603" w:type="dxa"/>
            <w:tcBorders>
              <w:top w:val="single" w:sz="4" w:space="0" w:color="auto"/>
              <w:left w:val="single" w:sz="4" w:space="0" w:color="auto"/>
              <w:right w:val="single" w:sz="4" w:space="0" w:color="auto"/>
            </w:tcBorders>
            <w:shd w:val="clear" w:color="auto" w:fill="FFFFFF"/>
            <w:vAlign w:val="center"/>
          </w:tcPr>
          <w:p w14:paraId="6AFD9EFA" w14:textId="77777777" w:rsidR="0002516B" w:rsidRDefault="00000000">
            <w:pPr>
              <w:pStyle w:val="Other0"/>
              <w:spacing w:after="0"/>
            </w:pPr>
            <w:r>
              <w:rPr>
                <w:rFonts w:ascii="Times New Roman" w:hAnsi="Times New Roman"/>
              </w:rPr>
              <w:t>-</w:t>
            </w:r>
          </w:p>
        </w:tc>
      </w:tr>
      <w:tr w:rsidR="0002516B" w14:paraId="545AFE3F" w14:textId="77777777">
        <w:trPr>
          <w:trHeight w:hRule="exact" w:val="571"/>
          <w:jc w:val="center"/>
        </w:trPr>
        <w:tc>
          <w:tcPr>
            <w:tcW w:w="4584" w:type="dxa"/>
            <w:tcBorders>
              <w:top w:val="single" w:sz="4" w:space="0" w:color="auto"/>
              <w:left w:val="single" w:sz="4" w:space="0" w:color="auto"/>
            </w:tcBorders>
            <w:shd w:val="clear" w:color="auto" w:fill="FFFFFF"/>
            <w:vAlign w:val="bottom"/>
          </w:tcPr>
          <w:p w14:paraId="167B92E7" w14:textId="77777777" w:rsidR="0002516B" w:rsidRDefault="00000000">
            <w:pPr>
              <w:pStyle w:val="Other0"/>
              <w:spacing w:after="0" w:line="254" w:lineRule="auto"/>
              <w:rPr>
                <w:sz w:val="19"/>
                <w:szCs w:val="19"/>
              </w:rPr>
            </w:pPr>
            <w:r>
              <w:rPr>
                <w:rFonts w:ascii="Times New Roman" w:hAnsi="Times New Roman"/>
                <w:sz w:val="19"/>
              </w:rPr>
              <w:t>Name of software used to form an electronic document</w:t>
            </w:r>
          </w:p>
        </w:tc>
        <w:tc>
          <w:tcPr>
            <w:tcW w:w="4603" w:type="dxa"/>
            <w:tcBorders>
              <w:top w:val="single" w:sz="4" w:space="0" w:color="auto"/>
              <w:left w:val="single" w:sz="4" w:space="0" w:color="auto"/>
              <w:right w:val="single" w:sz="4" w:space="0" w:color="auto"/>
            </w:tcBorders>
            <w:shd w:val="clear" w:color="auto" w:fill="FFFFFF"/>
            <w:vAlign w:val="center"/>
          </w:tcPr>
          <w:p w14:paraId="1DBF70E7" w14:textId="77777777" w:rsidR="0002516B" w:rsidRDefault="00000000">
            <w:pPr>
              <w:pStyle w:val="Other0"/>
              <w:spacing w:after="0"/>
              <w:rPr>
                <w:sz w:val="19"/>
                <w:szCs w:val="19"/>
              </w:rPr>
            </w:pPr>
            <w:proofErr w:type="spellStart"/>
            <w:r>
              <w:rPr>
                <w:rFonts w:ascii="Times New Roman" w:hAnsi="Times New Roman"/>
                <w:sz w:val="19"/>
              </w:rPr>
              <w:t>DocLogix</w:t>
            </w:r>
            <w:proofErr w:type="spellEnd"/>
            <w:r>
              <w:rPr>
                <w:rFonts w:ascii="Times New Roman" w:hAnsi="Times New Roman"/>
                <w:sz w:val="19"/>
              </w:rPr>
              <w:t xml:space="preserve"> v12.8.7.0</w:t>
            </w:r>
          </w:p>
        </w:tc>
      </w:tr>
      <w:tr w:rsidR="0002516B" w14:paraId="6CC5020E" w14:textId="77777777">
        <w:trPr>
          <w:trHeight w:hRule="exact" w:val="571"/>
          <w:jc w:val="center"/>
        </w:trPr>
        <w:tc>
          <w:tcPr>
            <w:tcW w:w="4584" w:type="dxa"/>
            <w:tcBorders>
              <w:top w:val="single" w:sz="4" w:space="0" w:color="auto"/>
              <w:left w:val="single" w:sz="4" w:space="0" w:color="auto"/>
            </w:tcBorders>
            <w:shd w:val="clear" w:color="auto" w:fill="FFFFFF"/>
            <w:vAlign w:val="bottom"/>
          </w:tcPr>
          <w:p w14:paraId="41D896CC" w14:textId="77777777" w:rsidR="0002516B" w:rsidRDefault="00000000">
            <w:pPr>
              <w:pStyle w:val="Other0"/>
              <w:spacing w:after="0"/>
              <w:rPr>
                <w:sz w:val="19"/>
                <w:szCs w:val="19"/>
              </w:rPr>
            </w:pPr>
            <w:r>
              <w:rPr>
                <w:rFonts w:ascii="Times New Roman" w:hAnsi="Times New Roman"/>
                <w:sz w:val="19"/>
              </w:rPr>
              <w:t>Information on verification of an electronic document and electronic signature(s) (date of verification)</w:t>
            </w:r>
          </w:p>
        </w:tc>
        <w:tc>
          <w:tcPr>
            <w:tcW w:w="4603" w:type="dxa"/>
            <w:tcBorders>
              <w:top w:val="single" w:sz="4" w:space="0" w:color="auto"/>
              <w:left w:val="single" w:sz="4" w:space="0" w:color="auto"/>
              <w:right w:val="single" w:sz="4" w:space="0" w:color="auto"/>
            </w:tcBorders>
            <w:shd w:val="clear" w:color="auto" w:fill="FFFFFF"/>
            <w:vAlign w:val="bottom"/>
          </w:tcPr>
          <w:p w14:paraId="2D1DD6C5" w14:textId="2CF02E8F" w:rsidR="0002516B" w:rsidRDefault="00000000">
            <w:pPr>
              <w:pStyle w:val="Other0"/>
              <w:spacing w:after="0"/>
              <w:rPr>
                <w:sz w:val="19"/>
                <w:szCs w:val="19"/>
              </w:rPr>
            </w:pPr>
            <w:r>
              <w:rPr>
                <w:rFonts w:ascii="Times New Roman" w:hAnsi="Times New Roman"/>
                <w:sz w:val="19"/>
              </w:rPr>
              <w:t>No errors found during document verification (24/05/2022 10:36:52 AM)</w:t>
            </w:r>
          </w:p>
        </w:tc>
      </w:tr>
      <w:tr w:rsidR="0002516B" w14:paraId="5DEC947E" w14:textId="77777777">
        <w:trPr>
          <w:trHeight w:hRule="exact" w:val="571"/>
          <w:jc w:val="center"/>
        </w:trPr>
        <w:tc>
          <w:tcPr>
            <w:tcW w:w="4584" w:type="dxa"/>
            <w:tcBorders>
              <w:top w:val="single" w:sz="4" w:space="0" w:color="auto"/>
              <w:left w:val="single" w:sz="4" w:space="0" w:color="auto"/>
            </w:tcBorders>
            <w:shd w:val="clear" w:color="auto" w:fill="FFFFFF"/>
            <w:vAlign w:val="bottom"/>
          </w:tcPr>
          <w:p w14:paraId="5CECBFA8" w14:textId="77777777" w:rsidR="0002516B" w:rsidRDefault="00000000">
            <w:pPr>
              <w:pStyle w:val="Other0"/>
              <w:spacing w:after="0" w:line="254" w:lineRule="auto"/>
              <w:rPr>
                <w:sz w:val="19"/>
                <w:szCs w:val="19"/>
              </w:rPr>
            </w:pPr>
            <w:r>
              <w:rPr>
                <w:rFonts w:ascii="Times New Roman" w:hAnsi="Times New Roman"/>
                <w:sz w:val="19"/>
              </w:rPr>
              <w:t>Date of printing of a copy of an electronic document and an employee who printed it</w:t>
            </w:r>
          </w:p>
        </w:tc>
        <w:tc>
          <w:tcPr>
            <w:tcW w:w="4603" w:type="dxa"/>
            <w:tcBorders>
              <w:top w:val="single" w:sz="4" w:space="0" w:color="auto"/>
              <w:left w:val="single" w:sz="4" w:space="0" w:color="auto"/>
              <w:right w:val="single" w:sz="4" w:space="0" w:color="auto"/>
            </w:tcBorders>
            <w:shd w:val="clear" w:color="auto" w:fill="FFFFFF"/>
            <w:vAlign w:val="center"/>
          </w:tcPr>
          <w:p w14:paraId="01817184" w14:textId="77777777" w:rsidR="0002516B" w:rsidRDefault="00000000">
            <w:pPr>
              <w:pStyle w:val="Other0"/>
              <w:spacing w:after="0"/>
              <w:rPr>
                <w:sz w:val="19"/>
                <w:szCs w:val="19"/>
              </w:rPr>
            </w:pPr>
            <w:r>
              <w:rPr>
                <w:rFonts w:ascii="Times New Roman" w:hAnsi="Times New Roman"/>
                <w:sz w:val="19"/>
              </w:rPr>
              <w:t>24/05/2022 10:36:52 AM</w:t>
            </w:r>
          </w:p>
        </w:tc>
      </w:tr>
      <w:tr w:rsidR="0002516B" w14:paraId="25C2129C" w14:textId="77777777">
        <w:trPr>
          <w:trHeight w:hRule="exact" w:val="341"/>
          <w:jc w:val="center"/>
        </w:trPr>
        <w:tc>
          <w:tcPr>
            <w:tcW w:w="4584" w:type="dxa"/>
            <w:tcBorders>
              <w:top w:val="single" w:sz="4" w:space="0" w:color="auto"/>
              <w:left w:val="single" w:sz="4" w:space="0" w:color="auto"/>
            </w:tcBorders>
            <w:shd w:val="clear" w:color="auto" w:fill="FFFFFF"/>
            <w:vAlign w:val="center"/>
          </w:tcPr>
          <w:p w14:paraId="580980D0" w14:textId="77777777" w:rsidR="0002516B" w:rsidRDefault="00000000">
            <w:pPr>
              <w:pStyle w:val="Other0"/>
              <w:spacing w:after="0"/>
              <w:rPr>
                <w:sz w:val="19"/>
                <w:szCs w:val="19"/>
              </w:rPr>
            </w:pPr>
            <w:r>
              <w:rPr>
                <w:rFonts w:ascii="Times New Roman" w:hAnsi="Times New Roman"/>
                <w:sz w:val="19"/>
              </w:rPr>
              <w:t>Reference for search</w:t>
            </w:r>
          </w:p>
        </w:tc>
        <w:tc>
          <w:tcPr>
            <w:tcW w:w="4603" w:type="dxa"/>
            <w:tcBorders>
              <w:top w:val="single" w:sz="4" w:space="0" w:color="auto"/>
              <w:left w:val="single" w:sz="4" w:space="0" w:color="auto"/>
              <w:right w:val="single" w:sz="4" w:space="0" w:color="auto"/>
            </w:tcBorders>
            <w:shd w:val="clear" w:color="auto" w:fill="FFFFFF"/>
            <w:vAlign w:val="center"/>
          </w:tcPr>
          <w:p w14:paraId="7F9F8519" w14:textId="77777777" w:rsidR="0002516B" w:rsidRDefault="00000000">
            <w:pPr>
              <w:pStyle w:val="Other0"/>
              <w:spacing w:after="0"/>
            </w:pPr>
            <w:r>
              <w:rPr>
                <w:rFonts w:ascii="Times New Roman" w:hAnsi="Times New Roman"/>
                <w:vertAlign w:val="superscript"/>
              </w:rPr>
              <w:t>-</w:t>
            </w:r>
          </w:p>
        </w:tc>
      </w:tr>
      <w:tr w:rsidR="0002516B" w14:paraId="4AA61F18" w14:textId="77777777">
        <w:trPr>
          <w:trHeight w:hRule="exact" w:val="360"/>
          <w:jc w:val="center"/>
        </w:trPr>
        <w:tc>
          <w:tcPr>
            <w:tcW w:w="4584" w:type="dxa"/>
            <w:tcBorders>
              <w:top w:val="single" w:sz="4" w:space="0" w:color="auto"/>
              <w:left w:val="single" w:sz="4" w:space="0" w:color="auto"/>
              <w:bottom w:val="single" w:sz="4" w:space="0" w:color="auto"/>
            </w:tcBorders>
            <w:shd w:val="clear" w:color="auto" w:fill="FFFFFF"/>
            <w:vAlign w:val="center"/>
          </w:tcPr>
          <w:p w14:paraId="2150AE56" w14:textId="77777777" w:rsidR="0002516B" w:rsidRDefault="00000000">
            <w:pPr>
              <w:pStyle w:val="Other0"/>
              <w:spacing w:after="0"/>
              <w:rPr>
                <w:sz w:val="19"/>
                <w:szCs w:val="19"/>
              </w:rPr>
            </w:pPr>
            <w:r>
              <w:rPr>
                <w:rFonts w:ascii="Times New Roman" w:hAnsi="Times New Roman"/>
                <w:sz w:val="19"/>
              </w:rPr>
              <w:t>Additional metadata</w:t>
            </w:r>
          </w:p>
        </w:tc>
        <w:tc>
          <w:tcPr>
            <w:tcW w:w="4603" w:type="dxa"/>
            <w:tcBorders>
              <w:top w:val="single" w:sz="4" w:space="0" w:color="auto"/>
              <w:left w:val="single" w:sz="4" w:space="0" w:color="auto"/>
              <w:bottom w:val="single" w:sz="4" w:space="0" w:color="auto"/>
              <w:right w:val="single" w:sz="4" w:space="0" w:color="auto"/>
            </w:tcBorders>
            <w:shd w:val="clear" w:color="auto" w:fill="FFFFFF"/>
            <w:vAlign w:val="center"/>
          </w:tcPr>
          <w:p w14:paraId="2F3CCD8B" w14:textId="77777777" w:rsidR="0002516B" w:rsidRDefault="00000000">
            <w:pPr>
              <w:pStyle w:val="Other0"/>
              <w:spacing w:after="0"/>
              <w:rPr>
                <w:sz w:val="19"/>
                <w:szCs w:val="19"/>
              </w:rPr>
            </w:pPr>
            <w:r>
              <w:rPr>
                <w:rFonts w:ascii="Times New Roman" w:hAnsi="Times New Roman"/>
                <w:sz w:val="19"/>
              </w:rPr>
              <w:t>-</w:t>
            </w:r>
          </w:p>
        </w:tc>
      </w:tr>
    </w:tbl>
    <w:p w14:paraId="6203AE23" w14:textId="77777777" w:rsidR="000B5F8D" w:rsidRDefault="000B5F8D"/>
    <w:sectPr w:rsidR="000B5F8D">
      <w:pgSz w:w="11900" w:h="16840"/>
      <w:pgMar w:top="1153" w:right="514" w:bottom="1153" w:left="1109" w:header="725" w:footer="72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25960" w14:textId="77777777" w:rsidR="00AB34E5" w:rsidRDefault="00AB34E5">
      <w:r>
        <w:separator/>
      </w:r>
    </w:p>
  </w:endnote>
  <w:endnote w:type="continuationSeparator" w:id="0">
    <w:p w14:paraId="76D614B9" w14:textId="77777777" w:rsidR="00AB34E5" w:rsidRDefault="00AB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89A9" w14:textId="77777777" w:rsidR="0002516B" w:rsidRDefault="00000000">
    <w:pPr>
      <w:spacing w:line="1" w:lineRule="exact"/>
    </w:pPr>
    <w:r>
      <w:rPr>
        <w:noProof/>
      </w:rPr>
      <mc:AlternateContent>
        <mc:Choice Requires="wps">
          <w:drawing>
            <wp:anchor distT="0" distB="0" distL="0" distR="0" simplePos="0" relativeHeight="62914692" behindDoc="1" locked="0" layoutInCell="1" allowOverlap="1" wp14:anchorId="43FE2191" wp14:editId="075A87EE">
              <wp:simplePos x="0" y="0"/>
              <wp:positionH relativeFrom="page">
                <wp:posOffset>3638550</wp:posOffset>
              </wp:positionH>
              <wp:positionV relativeFrom="page">
                <wp:posOffset>10113645</wp:posOffset>
              </wp:positionV>
              <wp:extent cx="643255"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643255" cy="118745"/>
                      </a:xfrm>
                      <a:prstGeom prst="rect">
                        <a:avLst/>
                      </a:prstGeom>
                      <a:noFill/>
                    </wps:spPr>
                    <wps:txbx>
                      <w:txbxContent>
                        <w:p w14:paraId="1C4FBA7E" w14:textId="77777777" w:rsidR="0002516B" w:rsidRDefault="00000000">
                          <w:pPr>
                            <w:pStyle w:val="Headerorfooter20"/>
                          </w:pPr>
                          <w:r>
                            <w:rPr>
                              <w:rFonts w:ascii="Calibri" w:hAnsi="Calibri"/>
                            </w:rPr>
                            <w:t xml:space="preserve">Page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hAnsi="Calibri"/>
                            </w:rPr>
                            <w:t xml:space="preserve"> of 4</w:t>
                          </w:r>
                        </w:p>
                      </w:txbxContent>
                    </wps:txbx>
                    <wps:bodyPr wrap="none" lIns="0" tIns="0" rIns="0" bIns="0">
                      <a:spAutoFit/>
                    </wps:bodyPr>
                  </wps:wsp>
                </a:graphicData>
              </a:graphic>
            </wp:anchor>
          </w:drawing>
        </mc:Choice>
        <mc:Fallback>
          <w:pict>
            <v:shapetype w14:anchorId="43FE2191" id="_x0000_t202" coordsize="21600,21600" o:spt="202" path="m,l,21600r21600,l21600,xe">
              <v:stroke joinstyle="miter"/>
              <v:path gradientshapeok="t" o:connecttype="rect"/>
            </v:shapetype>
            <v:shape id="Shape 7" o:spid="_x0000_s1029" type="#_x0000_t202" style="position:absolute;margin-left:286.5pt;margin-top:796.35pt;width:50.65pt;height:9.3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" filled="f" stroked="f">
              <v:textbox style="mso-fit-shape-to-text:t" inset="0,0,0,0">
                <w:txbxContent>
                  <w:p w14:paraId="1C4FBA7E" w14:textId="77777777" w:rsidR="0002516B" w:rsidRDefault="00000000">
                    <w:pPr>
                      <w:pStyle w:val="Headerorfooter20"/>
                    </w:pPr>
                    <w:r>
                      <w:rPr>
                        <w:rFonts w:ascii="Calibri" w:hAnsi="Calibri"/>
                      </w:rPr>
                      <w:t xml:space="preserve">Page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hAnsi="Calibri"/>
                      </w:rPr>
                      <w:t xml:space="preserve"> of 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A3EE" w14:textId="77777777" w:rsidR="0002516B" w:rsidRDefault="00000000">
    <w:pPr>
      <w:spacing w:line="1" w:lineRule="exact"/>
    </w:pPr>
    <w:r>
      <w:rPr>
        <w:noProof/>
      </w:rPr>
      <mc:AlternateContent>
        <mc:Choice Requires="wps">
          <w:drawing>
            <wp:anchor distT="0" distB="0" distL="0" distR="0" simplePos="0" relativeHeight="62914696" behindDoc="1" locked="0" layoutInCell="1" allowOverlap="1" wp14:anchorId="3645193A" wp14:editId="13E5883C">
              <wp:simplePos x="0" y="0"/>
              <wp:positionH relativeFrom="page">
                <wp:posOffset>3639185</wp:posOffset>
              </wp:positionH>
              <wp:positionV relativeFrom="page">
                <wp:posOffset>10101580</wp:posOffset>
              </wp:positionV>
              <wp:extent cx="64643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646430" cy="128270"/>
                      </a:xfrm>
                      <a:prstGeom prst="rect">
                        <a:avLst/>
                      </a:prstGeom>
                      <a:noFill/>
                    </wps:spPr>
                    <wps:txbx>
                      <w:txbxContent>
                        <w:p w14:paraId="1325A7A7" w14:textId="77777777" w:rsidR="0002516B" w:rsidRDefault="00000000">
                          <w:pPr>
                            <w:pStyle w:val="Headerorfooter20"/>
                          </w:pPr>
                          <w:r>
                            <w:rPr>
                              <w:rFonts w:ascii="Calibri" w:hAnsi="Calibri"/>
                            </w:rPr>
                            <w:t xml:space="preserve">Page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hAnsi="Calibri"/>
                            </w:rPr>
                            <w:t xml:space="preserve"> of 4</w:t>
                          </w:r>
                        </w:p>
                      </w:txbxContent>
                    </wps:txbx>
                    <wps:bodyPr wrap="none" lIns="0" tIns="0" rIns="0" bIns="0">
                      <a:spAutoFit/>
                    </wps:bodyPr>
                  </wps:wsp>
                </a:graphicData>
              </a:graphic>
            </wp:anchor>
          </w:drawing>
        </mc:Choice>
        <mc:Fallback>
          <w:pict>
            <v:shapetype w14:anchorId="3645193A" id="_x0000_t202" coordsize="21600,21600" o:spt="202" path="m,l,21600r21600,l21600,xe">
              <v:stroke joinstyle="miter"/>
              <v:path gradientshapeok="t" o:connecttype="rect"/>
            </v:shapetype>
            <v:shape id="Shape 11" o:spid="_x0000_s1031" type="#_x0000_t202" style="position:absolute;margin-left:286.55pt;margin-top:795.4pt;width:50.9pt;height:10.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" filled="f" stroked="f">
              <v:textbox style="mso-fit-shape-to-text:t" inset="0,0,0,0">
                <w:txbxContent>
                  <w:p w14:paraId="1325A7A7" w14:textId="77777777" w:rsidR="0002516B" w:rsidRDefault="00000000">
                    <w:pPr>
                      <w:pStyle w:val="Headerorfooter20"/>
                    </w:pPr>
                    <w:r>
                      <w:rPr>
                        <w:rFonts w:ascii="Calibri" w:hAnsi="Calibri"/>
                      </w:rPr>
                      <w:t xml:space="preserve">Page </w:t>
                    </w: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r>
                      <w:rPr>
                        <w:rFonts w:ascii="Calibri" w:hAnsi="Calibri"/>
                      </w:rPr>
                      <w:t xml:space="preserve"> of 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016D" w14:textId="77777777" w:rsidR="0002516B" w:rsidRDefault="00025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D19E1" w14:textId="77777777" w:rsidR="00AB34E5" w:rsidRDefault="00AB34E5"/>
  </w:footnote>
  <w:footnote w:type="continuationSeparator" w:id="0">
    <w:p w14:paraId="2018E7FE" w14:textId="77777777" w:rsidR="00AB34E5" w:rsidRDefault="00AB3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A0A4" w14:textId="77777777" w:rsidR="0002516B" w:rsidRDefault="00000000">
    <w:pPr>
      <w:spacing w:line="1" w:lineRule="exact"/>
    </w:pPr>
    <w:r>
      <w:rPr>
        <w:noProof/>
      </w:rPr>
      <mc:AlternateContent>
        <mc:Choice Requires="wps">
          <w:drawing>
            <wp:anchor distT="0" distB="0" distL="0" distR="0" simplePos="0" relativeHeight="62914690" behindDoc="1" locked="0" layoutInCell="1" allowOverlap="1" wp14:anchorId="2A345F22" wp14:editId="36325546">
              <wp:simplePos x="0" y="0"/>
              <wp:positionH relativeFrom="page">
                <wp:posOffset>1352550</wp:posOffset>
              </wp:positionH>
              <wp:positionV relativeFrom="page">
                <wp:posOffset>171450</wp:posOffset>
              </wp:positionV>
              <wp:extent cx="5824855" cy="125095"/>
              <wp:effectExtent l="0" t="0" r="0" b="0"/>
              <wp:wrapNone/>
              <wp:docPr id="5" name="Shape 5"/>
              <wp:cNvGraphicFramePr/>
              <a:graphic xmlns:a="http://schemas.openxmlformats.org/drawingml/2006/main">
                <a:graphicData uri="http://schemas.microsoft.com/office/word/2010/wordprocessingShape">
                  <wps:wsp>
                    <wps:cNvSpPr txBox="1"/>
                    <wps:spPr>
                      <a:xfrm>
                        <a:off x="0" y="0"/>
                        <a:ext cx="5824855" cy="125095"/>
                      </a:xfrm>
                      <a:prstGeom prst="rect">
                        <a:avLst/>
                      </a:prstGeom>
                      <a:noFill/>
                    </wps:spPr>
                    <wps:txbx>
                      <w:txbxContent>
                        <w:p w14:paraId="6CB645D8" w14:textId="77777777" w:rsidR="0002516B" w:rsidRDefault="00000000">
                          <w:pPr>
                            <w:pStyle w:val="Headerorfooter20"/>
                          </w:pPr>
                          <w:r>
                            <w:rPr>
                              <w:rFonts w:ascii="Calibri" w:hAnsi="Calibri"/>
                            </w:rPr>
                            <w:t>Amendment No. 1 of the Design task No. PLSV18094 “Construction of a new 330 kV overhead line Vilnius-Neris”</w:t>
                          </w:r>
                        </w:p>
                      </w:txbxContent>
                    </wps:txbx>
                    <wps:bodyPr wrap="none" lIns="0" tIns="0" rIns="0" bIns="0">
                      <a:spAutoFit/>
                    </wps:bodyPr>
                  </wps:wsp>
                </a:graphicData>
              </a:graphic>
            </wp:anchor>
          </w:drawing>
        </mc:Choice>
        <mc:Fallback>
          <w:pict>
            <v:shapetype w14:anchorId="2A345F22" id="_x0000_t202" coordsize="21600,21600" o:spt="202" path="m,l,21600r21600,l21600,xe">
              <v:stroke joinstyle="miter"/>
              <v:path gradientshapeok="t" o:connecttype="rect"/>
            </v:shapetype>
            <v:shape id="Shape 5" o:spid="_x0000_s1028" type="#_x0000_t202" style="position:absolute;margin-left:106.5pt;margin-top:13.5pt;width:458.65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" filled="f" stroked="f">
              <v:textbox style="mso-fit-shape-to-text:t" inset="0,0,0,0">
                <w:txbxContent>
                  <w:p w14:paraId="6CB645D8" w14:textId="77777777" w:rsidR="0002516B" w:rsidRDefault="00000000">
                    <w:pPr>
                      <w:pStyle w:val="Headerorfooter20"/>
                    </w:pPr>
                    <w:r>
                      <w:rPr>
                        <w:rFonts w:ascii="Calibri" w:hAnsi="Calibri"/>
                      </w:rPr>
                      <w:t>Amendment No. 1 of the Design task No. PLSV18094 “Construction of a new 330 kV overhead line Vilnius-Neris”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0405" w14:textId="77777777" w:rsidR="0002516B" w:rsidRDefault="00000000">
    <w:pPr>
      <w:spacing w:line="1" w:lineRule="exact"/>
    </w:pPr>
    <w:r>
      <w:rPr>
        <w:noProof/>
      </w:rPr>
      <mc:AlternateContent>
        <mc:Choice Requires="wps">
          <w:drawing>
            <wp:anchor distT="0" distB="0" distL="0" distR="0" simplePos="0" relativeHeight="62914694" behindDoc="1" locked="0" layoutInCell="1" allowOverlap="1" wp14:anchorId="371D572E" wp14:editId="7BA64F82">
              <wp:simplePos x="0" y="0"/>
              <wp:positionH relativeFrom="page">
                <wp:posOffset>1350010</wp:posOffset>
              </wp:positionH>
              <wp:positionV relativeFrom="page">
                <wp:posOffset>173990</wp:posOffset>
              </wp:positionV>
              <wp:extent cx="5824855" cy="121920"/>
              <wp:effectExtent l="0" t="0" r="0" b="0"/>
              <wp:wrapNone/>
              <wp:docPr id="9" name="Shape 9"/>
              <wp:cNvGraphicFramePr/>
              <a:graphic xmlns:a="http://schemas.openxmlformats.org/drawingml/2006/main">
                <a:graphicData uri="http://schemas.microsoft.com/office/word/2010/wordprocessingShape">
                  <wps:wsp>
                    <wps:cNvSpPr txBox="1"/>
                    <wps:spPr>
                      <a:xfrm>
                        <a:off x="0" y="0"/>
                        <a:ext cx="5824855" cy="121920"/>
                      </a:xfrm>
                      <a:prstGeom prst="rect">
                        <a:avLst/>
                      </a:prstGeom>
                      <a:noFill/>
                    </wps:spPr>
                    <wps:txbx>
                      <w:txbxContent>
                        <w:p w14:paraId="07753BED" w14:textId="77777777" w:rsidR="0002516B" w:rsidRDefault="00000000">
                          <w:pPr>
                            <w:pStyle w:val="Headerorfooter20"/>
                          </w:pPr>
                          <w:r>
                            <w:rPr>
                              <w:rFonts w:ascii="Calibri" w:hAnsi="Calibri"/>
                            </w:rPr>
                            <w:t>Amendment No. 1 of the Design task No. PLSV18094 “Construction of a new 330 kV overhead line Vilnius-Neris”</w:t>
                          </w:r>
                        </w:p>
                      </w:txbxContent>
                    </wps:txbx>
                    <wps:bodyPr wrap="none" lIns="0" tIns="0" rIns="0" bIns="0">
                      <a:spAutoFit/>
                    </wps:bodyPr>
                  </wps:wsp>
                </a:graphicData>
              </a:graphic>
            </wp:anchor>
          </w:drawing>
        </mc:Choice>
        <mc:Fallback>
          <w:pict>
            <v:shapetype w14:anchorId="371D572E" id="_x0000_t202" coordsize="21600,21600" o:spt="202" path="m,l,21600r21600,l21600,xe">
              <v:stroke joinstyle="miter"/>
              <v:path gradientshapeok="t" o:connecttype="rect"/>
            </v:shapetype>
            <v:shape id="Shape 9" o:spid="_x0000_s1030" type="#_x0000_t202" style="position:absolute;margin-left:106.3pt;margin-top:13.7pt;width:458.65pt;height:9.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" filled="f" stroked="f">
              <v:textbox style="mso-fit-shape-to-text:t" inset="0,0,0,0">
                <w:txbxContent>
                  <w:p w14:paraId="07753BED" w14:textId="77777777" w:rsidR="0002516B" w:rsidRDefault="00000000">
                    <w:pPr>
                      <w:pStyle w:val="Headerorfooter20"/>
                    </w:pPr>
                    <w:r>
                      <w:rPr>
                        <w:rFonts w:ascii="Calibri" w:hAnsi="Calibri"/>
                      </w:rPr>
                      <w:t>Amendment No. 1 of the Design task No. PLSV18094 “Construction of a new 330 kV overhead line Vilnius-Neris”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9A9C" w14:textId="77777777" w:rsidR="0002516B" w:rsidRDefault="000251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53103"/>
    <w:multiLevelType w:val="multilevel"/>
    <w:tmpl w:val="D8C244A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C25A88"/>
    <w:multiLevelType w:val="multilevel"/>
    <w:tmpl w:val="BE344102"/>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DC4D83"/>
    <w:multiLevelType w:val="multilevel"/>
    <w:tmpl w:val="A76C4B4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3700D6"/>
    <w:multiLevelType w:val="multilevel"/>
    <w:tmpl w:val="6914B756"/>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4379479">
    <w:abstractNumId w:val="1"/>
  </w:num>
  <w:num w:numId="2" w16cid:durableId="1955823431">
    <w:abstractNumId w:val="3"/>
  </w:num>
  <w:num w:numId="3" w16cid:durableId="1682316482">
    <w:abstractNumId w:val="0"/>
  </w:num>
  <w:num w:numId="4" w16cid:durableId="557285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6B"/>
    <w:rsid w:val="0002516B"/>
    <w:rsid w:val="000B5F8D"/>
    <w:rsid w:val="001C49DC"/>
    <w:rsid w:val="003542FF"/>
    <w:rsid w:val="0057332B"/>
    <w:rsid w:val="006B1E69"/>
    <w:rsid w:val="00826EDF"/>
    <w:rsid w:val="0085141B"/>
    <w:rsid w:val="008E56BE"/>
    <w:rsid w:val="00907ADE"/>
    <w:rsid w:val="009F2573"/>
    <w:rsid w:val="00A639A5"/>
    <w:rsid w:val="00A91476"/>
    <w:rsid w:val="00A9464D"/>
    <w:rsid w:val="00AB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A182"/>
  <w15:docId w15:val="{1BB53F82-CB92-4279-943B-71613724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GB"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rebuchet MS" w:eastAsia="Trebuchet MS" w:hAnsi="Trebuchet MS" w:cs="Trebuchet MS"/>
      <w:b w:val="0"/>
      <w:bCs w:val="0"/>
      <w:i w:val="0"/>
      <w:iCs w:val="0"/>
      <w:smallCaps w:val="0"/>
      <w:strike w:val="0"/>
      <w:sz w:val="22"/>
      <w:szCs w:val="22"/>
      <w:u w:val="none"/>
      <w:shd w:val="clear" w:color="auto" w:fill="auto"/>
    </w:rPr>
  </w:style>
  <w:style w:type="character" w:customStyle="1" w:styleId="Heading1">
    <w:name w:val="Heading #1_"/>
    <w:basedOn w:val="Numatytasispastraiposriftas"/>
    <w:link w:val="Heading10"/>
    <w:rPr>
      <w:rFonts w:ascii="Trebuchet MS" w:eastAsia="Trebuchet MS" w:hAnsi="Trebuchet MS" w:cs="Trebuchet MS"/>
      <w:b/>
      <w:bCs/>
      <w:i w:val="0"/>
      <w:iCs w:val="0"/>
      <w:smallCaps w:val="0"/>
      <w:strike w:val="0"/>
      <w:sz w:val="32"/>
      <w:szCs w:val="32"/>
      <w:u w:val="none"/>
      <w:shd w:val="clear" w:color="auto" w:fill="auto"/>
    </w:rPr>
  </w:style>
  <w:style w:type="character" w:customStyle="1" w:styleId="Bodytext3">
    <w:name w:val="Body text (3)_"/>
    <w:basedOn w:val="Numatytasispastraiposriftas"/>
    <w:link w:val="Bodytext30"/>
    <w:rPr>
      <w:rFonts w:ascii="Calibri" w:eastAsia="Calibri" w:hAnsi="Calibri" w:cs="Calibri"/>
      <w:b/>
      <w:bCs/>
      <w:i w:val="0"/>
      <w:iCs w:val="0"/>
      <w:smallCaps w:val="0"/>
      <w:strike w:val="0"/>
      <w:sz w:val="22"/>
      <w:szCs w:val="22"/>
      <w:u w:val="none"/>
      <w:shd w:val="clear" w:color="auto" w:fill="auto"/>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Numatytasispastraiposriftas"/>
    <w:link w:val="Other0"/>
    <w:rPr>
      <w:rFonts w:ascii="Trebuchet MS" w:eastAsia="Trebuchet MS" w:hAnsi="Trebuchet MS" w:cs="Trebuchet MS"/>
      <w:b w:val="0"/>
      <w:bCs w:val="0"/>
      <w:i w:val="0"/>
      <w:iCs w:val="0"/>
      <w:smallCaps w:val="0"/>
      <w:strike w:val="0"/>
      <w:sz w:val="22"/>
      <w:szCs w:val="22"/>
      <w:u w:val="none"/>
      <w:shd w:val="clear" w:color="auto" w:fill="auto"/>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styleId="Pagrindinistekstas">
    <w:name w:val="Body Text"/>
    <w:basedOn w:val="prastasis"/>
    <w:link w:val="PagrindinistekstasDiagrama"/>
    <w:qFormat/>
    <w:pPr>
      <w:spacing w:after="260"/>
    </w:pPr>
    <w:rPr>
      <w:rFonts w:ascii="Trebuchet MS" w:eastAsia="Trebuchet MS" w:hAnsi="Trebuchet MS" w:cs="Trebuchet MS"/>
      <w:sz w:val="22"/>
      <w:szCs w:val="22"/>
    </w:rPr>
  </w:style>
  <w:style w:type="paragraph" w:customStyle="1" w:styleId="Heading10">
    <w:name w:val="Heading #1"/>
    <w:basedOn w:val="prastasis"/>
    <w:link w:val="Heading1"/>
    <w:pPr>
      <w:spacing w:after="320" w:line="254" w:lineRule="auto"/>
      <w:jc w:val="center"/>
      <w:outlineLvl w:val="0"/>
    </w:pPr>
    <w:rPr>
      <w:rFonts w:ascii="Trebuchet MS" w:eastAsia="Trebuchet MS" w:hAnsi="Trebuchet MS" w:cs="Trebuchet MS"/>
      <w:b/>
      <w:bCs/>
      <w:sz w:val="32"/>
      <w:szCs w:val="32"/>
    </w:rPr>
  </w:style>
  <w:style w:type="paragraph" w:customStyle="1" w:styleId="Bodytext30">
    <w:name w:val="Body text (3)"/>
    <w:basedOn w:val="prastasis"/>
    <w:link w:val="Bodytext3"/>
    <w:pPr>
      <w:spacing w:after="180"/>
      <w:ind w:firstLine="270"/>
    </w:pPr>
    <w:rPr>
      <w:rFonts w:ascii="Calibri" w:eastAsia="Calibri" w:hAnsi="Calibri" w:cs="Calibri"/>
      <w:b/>
      <w:bCs/>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Other0">
    <w:name w:val="Other"/>
    <w:basedOn w:val="prastasis"/>
    <w:link w:val="Other"/>
    <w:pPr>
      <w:spacing w:after="260"/>
    </w:pPr>
    <w:rPr>
      <w:rFonts w:ascii="Trebuchet MS" w:eastAsia="Trebuchet MS" w:hAnsi="Trebuchet MS" w:cs="Trebuchet MS"/>
      <w:sz w:val="22"/>
      <w:szCs w:val="22"/>
    </w:rPr>
  </w:style>
  <w:style w:type="paragraph" w:customStyle="1" w:styleId="Bodytext20">
    <w:name w:val="Body text (2)"/>
    <w:basedOn w:val="prastasis"/>
    <w:link w:val="Bodytext2"/>
    <w:pPr>
      <w:spacing w:line="264" w:lineRule="auto"/>
      <w:ind w:left="540" w:firstLine="2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58ADA092FE948926259E02A5CBCEA" ma:contentTypeVersion="10" ma:contentTypeDescription="Create a new document." ma:contentTypeScope="" ma:versionID="7dab163e0a57e8012bff5341557d571f">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506b46ce8bf832a5313c62f4cf918cfe"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73CFAA-DAA9-4ACD-A048-6C45E10116C2}"/>
</file>

<file path=customXml/itemProps2.xml><?xml version="1.0" encoding="utf-8"?>
<ds:datastoreItem xmlns:ds="http://schemas.openxmlformats.org/officeDocument/2006/customXml" ds:itemID="{6F362E56-95D9-4F49-9A55-E5B10C728207}"/>
</file>

<file path=customXml/itemProps3.xml><?xml version="1.0" encoding="utf-8"?>
<ds:datastoreItem xmlns:ds="http://schemas.openxmlformats.org/officeDocument/2006/customXml" ds:itemID="{918243A0-83EC-45C5-AE7C-986188E22AB0}"/>
</file>

<file path=docProps/app.xml><?xml version="1.0" encoding="utf-8"?>
<Properties xmlns="http://schemas.openxmlformats.org/officeDocument/2006/extended-properties" xmlns:vt="http://schemas.openxmlformats.org/officeDocument/2006/docPropsVTypes">
  <Template>Normal</Template>
  <TotalTime>7</TotalTime>
  <Pages>7</Pages>
  <Words>1991</Words>
  <Characters>11351</Characters>
  <Application>Microsoft Office Word</Application>
  <DocSecurity>0</DocSecurity>
  <Lines>94</Lines>
  <Paragraphs>26</Paragraphs>
  <ScaleCrop>false</ScaleCrop>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Adresatas.pdf</dc:title>
  <dc:subject/>
  <dc:creator>vgga</dc:creator>
  <cp:keywords/>
  <cp:lastModifiedBy>Indrė Mieliauskaitė</cp:lastModifiedBy>
  <cp:revision>12</cp:revision>
  <dcterms:created xsi:type="dcterms:W3CDTF">2024-02-21T17:17:00Z</dcterms:created>
  <dcterms:modified xsi:type="dcterms:W3CDTF">2024-02-26T06:13:00Z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0x010100B0F58ADA092FE948926259E02A5CBCEA</vt:lpwstr>
  </property>
  <property fmtid="{D5CDD505-2E9C-101B-9397-08002B2CF9AE}" pid="3" name="MediaServiceImageTags">
    <vt:lpwstr/>
  </property>
</Properties>
</file>